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“如意宝”优选增值服务产品细则</w:t>
      </w:r>
    </w:p>
    <w:p>
      <w:pPr>
        <w:jc w:val="left"/>
        <w:rPr>
          <w:rFonts w:asciiTheme="minorEastAsia" w:hAnsiTheme="minorEastAsia"/>
        </w:rPr>
      </w:pPr>
    </w:p>
    <w:p>
      <w:pPr>
        <w:ind w:firstLine="420" w:firstLineChars="200"/>
        <w:jc w:val="left"/>
        <w:rPr>
          <w:rFonts w:asciiTheme="minorEastAsia" w:hAnsiTheme="minorEastAsia"/>
        </w:rPr>
      </w:pPr>
      <w:r>
        <w:rPr>
          <w:rFonts w:hint="eastAsia" w:asciiTheme="minorEastAsia" w:hAnsiTheme="minorEastAsia"/>
        </w:rPr>
        <w:t>凡订购</w:t>
      </w:r>
      <w:bookmarkStart w:id="0" w:name="_Hlk122682273"/>
      <w:r>
        <w:rPr>
          <w:rFonts w:hint="eastAsia" w:ascii="宋体" w:hAnsi="宋体" w:eastAsia="宋体" w:cs="宋体"/>
        </w:rPr>
        <w:t>中信银行信用卡中心（以下简称“卡中心”）</w:t>
      </w:r>
      <w:bookmarkEnd w:id="0"/>
      <w:r>
        <w:rPr>
          <w:rFonts w:hint="eastAsia" w:asciiTheme="minorEastAsia" w:hAnsiTheme="minorEastAsia"/>
        </w:rPr>
        <w:t>“如意宝”优选增值服务产品（以下简称“如意宝”</w:t>
      </w:r>
      <w:r>
        <w:rPr>
          <w:rFonts w:hint="eastAsia" w:asciiTheme="minorEastAsia" w:hAnsiTheme="minorEastAsia"/>
          <w:lang w:val="en-US" w:eastAsia="zh-CN"/>
        </w:rPr>
        <w:t>或“本产品”</w:t>
      </w:r>
      <w:r>
        <w:rPr>
          <w:rFonts w:hint="eastAsia" w:asciiTheme="minorEastAsia" w:hAnsiTheme="minorEastAsia"/>
        </w:rPr>
        <w:t>）的中信银行信用卡持卡人（仅限主卡持卡人购买，以下简称“持卡人”），在产品有效期内，可享受零起点短信提醒服务、免除补制账单手续费服务、重大疾病二次诊疗服务（仅限购买如意宝C产品的持卡人享有），附赠意外入院医疗保险服务（仅限购买如意宝</w:t>
      </w:r>
      <w:r>
        <w:rPr>
          <w:rFonts w:asciiTheme="minorEastAsia" w:hAnsiTheme="minorEastAsia"/>
        </w:rPr>
        <w:t>A</w:t>
      </w:r>
      <w:r>
        <w:rPr>
          <w:rFonts w:hint="eastAsia" w:asciiTheme="minorEastAsia" w:hAnsiTheme="minorEastAsia"/>
        </w:rPr>
        <w:t>产品的持卡人享有）、附赠综合意外伤害保险服务、附赠疫苗接种意外保险服务。</w:t>
      </w:r>
    </w:p>
    <w:p>
      <w:pPr>
        <w:ind w:firstLine="422" w:firstLineChars="200"/>
        <w:jc w:val="left"/>
        <w:rPr>
          <w:rFonts w:hint="eastAsia" w:ascii="Times New Roman" w:hAnsi="Times New Roman" w:eastAsia="宋体" w:cs="Times New Roman"/>
          <w:b/>
          <w:bCs/>
          <w:u w:val="single"/>
          <w:lang w:eastAsia="zh-CN"/>
        </w:rPr>
      </w:pPr>
      <w:r>
        <w:rPr>
          <w:rFonts w:hint="eastAsia" w:ascii="Times New Roman" w:hAnsi="Times New Roman" w:eastAsia="宋体" w:cs="Times New Roman"/>
          <w:b/>
          <w:bCs/>
          <w:u w:val="single"/>
        </w:rPr>
        <w:t>请持卡人仔细阅读，若持卡人同意申请办理相关产品，即表示其已阅读并同意遵守本业务细则及相关收费标准，并且对相应的法律后果已全部知晓并充分理解</w:t>
      </w:r>
      <w:r>
        <w:rPr>
          <w:rFonts w:hint="eastAsia" w:ascii="Times New Roman" w:hAnsi="Times New Roman" w:eastAsia="宋体" w:cs="Times New Roman"/>
          <w:b/>
          <w:bCs/>
          <w:u w:val="singl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1.请持卡人重点关注本协议加粗加重或变更颜色的内容。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heme="minorEastAsia" w:hAnsiTheme="minorEastAsia"/>
          <w:b/>
          <w:bCs/>
          <w:u w:val="none"/>
        </w:rPr>
        <w:t>卡中心不对保险服务及理赔事宜提供任何保证或承担任何责任。</w:t>
      </w:r>
      <w:r>
        <w:rPr>
          <w:rFonts w:hint="eastAsia" w:asciiTheme="minorEastAsia" w:hAnsiTheme="minorEastAsia"/>
          <w:b/>
          <w:bCs/>
          <w:lang w:val="en-US" w:eastAsia="zh-CN"/>
        </w:rPr>
        <w:t>本细则中的相关保险条款可能存在滞后性，具体以承保保险公司提供为准。</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3.</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将</w:t>
      </w:r>
      <w:r>
        <w:rPr>
          <w:rFonts w:hint="eastAsia" w:ascii="Times New Roman" w:hAnsi="Times New Roman" w:eastAsia="宋体" w:cs="Times New Roman"/>
          <w:b/>
          <w:bCs/>
          <w:highlight w:val="none"/>
          <w:lang w:val="en-US" w:eastAsia="zh-CN"/>
        </w:rPr>
        <w:t>在</w:t>
      </w:r>
      <w:r>
        <w:rPr>
          <w:rFonts w:hint="eastAsia" w:ascii="Times New Roman" w:hAnsi="Times New Roman" w:eastAsia="宋体" w:cs="Times New Roman"/>
          <w:b/>
          <w:bCs/>
          <w:sz w:val="21"/>
          <w:szCs w:val="24"/>
          <w:highlight w:val="none"/>
          <w:lang w:eastAsia="zh-CN"/>
        </w:rPr>
        <w:t>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sz w:val="21"/>
          <w:szCs w:val="24"/>
          <w:highlight w:val="none"/>
        </w:rPr>
        <w:t>。产品到期前，</w:t>
      </w:r>
      <w:r>
        <w:rPr>
          <w:rFonts w:hint="eastAsia" w:ascii="Times New Roman" w:hAnsi="Times New Roman" w:eastAsia="宋体" w:cs="Times New Roman"/>
          <w:b/>
          <w:bCs/>
          <w:sz w:val="21"/>
          <w:szCs w:val="24"/>
          <w:highlight w:val="none"/>
          <w:lang w:eastAsia="zh-CN"/>
        </w:rPr>
        <w:t>卡中心将</w:t>
      </w:r>
      <w:r>
        <w:rPr>
          <w:rFonts w:hint="eastAsia" w:ascii="Times New Roman" w:hAnsi="Times New Roman" w:eastAsia="宋体" w:cs="Times New Roman"/>
          <w:b/>
          <w:bCs/>
          <w:sz w:val="21"/>
          <w:szCs w:val="24"/>
          <w:highlight w:val="none"/>
        </w:rPr>
        <w:t>发送</w:t>
      </w:r>
      <w:r>
        <w:rPr>
          <w:rFonts w:hint="eastAsia" w:ascii="Times New Roman" w:hAnsi="Times New Roman" w:eastAsia="宋体" w:cs="Times New Roman"/>
          <w:b/>
          <w:bCs/>
          <w:sz w:val="21"/>
          <w:szCs w:val="24"/>
          <w:highlight w:val="none"/>
          <w:lang w:eastAsia="zh-CN"/>
        </w:rPr>
        <w:t>续期</w:t>
      </w:r>
      <w:r>
        <w:rPr>
          <w:rFonts w:hint="eastAsia" w:ascii="Times New Roman" w:hAnsi="Times New Roman" w:eastAsia="宋体" w:cs="Times New Roman"/>
          <w:b/>
          <w:bCs/>
          <w:sz w:val="21"/>
          <w:szCs w:val="24"/>
          <w:highlight w:val="none"/>
        </w:rPr>
        <w:t>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cstheme="minorBidi"/>
          <w:b/>
          <w:bCs/>
          <w:color w:val="auto"/>
          <w:highlight w:val="none"/>
          <w:lang w:val="en-US" w:eastAsia="zh-CN" w:bidi="ar"/>
        </w:rPr>
        <w:t>4</w:t>
      </w:r>
      <w:r>
        <w:rPr>
          <w:rFonts w:hint="eastAsia" w:asciiTheme="minorHAnsi" w:hAnsiTheme="minorHAnsi" w:eastAsiaTheme="minorEastAsia" w:cstheme="minorBidi"/>
          <w:b/>
          <w:bCs/>
          <w:color w:val="auto"/>
          <w:highlight w:val="none"/>
          <w:lang w:val="en-US" w:eastAsia="zh-CN" w:bidi="ar"/>
        </w:rPr>
        <w:t>.</w:t>
      </w:r>
      <w:r>
        <w:rPr>
          <w:rFonts w:hint="eastAsia" w:asciiTheme="minorHAnsi" w:hAnsiTheme="minorHAnsi"/>
          <w:b/>
          <w:bCs/>
          <w:color w:val="auto"/>
          <w:lang w:bidi="ar"/>
        </w:rPr>
        <w:t>持卡人在成功购买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后，根据监管的要求，持卡人个人的姓名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4"/>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4"/>
          <w:rFonts w:hint="eastAsia" w:cstheme="minorBidi"/>
          <w:b/>
          <w:bCs/>
          <w:i w:val="0"/>
          <w:iCs w:val="0"/>
          <w:caps w:val="0"/>
          <w:color w:val="auto"/>
          <w:spacing w:val="0"/>
          <w:sz w:val="21"/>
          <w:szCs w:val="24"/>
          <w:shd w:val="clear" w:fill="FFFFFF"/>
          <w:lang w:val="en-US" w:eastAsia="zh-CN" w:bidi="ar"/>
        </w:rPr>
        <w:t>服务</w:t>
      </w:r>
      <w:r>
        <w:rPr>
          <w:rStyle w:val="14"/>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widowControl/>
        <w:ind w:firstLine="420" w:firstLineChars="200"/>
        <w:jc w:val="both"/>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420"/>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asciiTheme="minorEastAsia" w:hAnsiTheme="minorEastAsia"/>
              </w:rPr>
            </w:pPr>
            <w:r>
              <w:rPr>
                <w:rFonts w:hint="eastAsia" w:asciiTheme="minorEastAsia" w:hAnsiTheme="minorEastAsia"/>
              </w:rPr>
              <w:t>产品名称</w:t>
            </w:r>
          </w:p>
        </w:tc>
        <w:tc>
          <w:tcPr>
            <w:tcW w:w="1420" w:type="dxa"/>
            <w:vAlign w:val="center"/>
          </w:tcPr>
          <w:p>
            <w:pPr>
              <w:jc w:val="center"/>
              <w:rPr>
                <w:rFonts w:asciiTheme="minorEastAsia" w:hAnsiTheme="minorEastAsia"/>
              </w:rPr>
            </w:pPr>
            <w:r>
              <w:rPr>
                <w:rFonts w:hint="eastAsia" w:asciiTheme="minorEastAsia" w:hAnsiTheme="minorEastAsia"/>
              </w:rPr>
              <w:t>收费标准</w:t>
            </w:r>
          </w:p>
        </w:tc>
        <w:tc>
          <w:tcPr>
            <w:tcW w:w="5720" w:type="dxa"/>
            <w:vAlign w:val="center"/>
          </w:tcPr>
          <w:p>
            <w:pPr>
              <w:jc w:val="center"/>
              <w:rPr>
                <w:rFonts w:asciiTheme="minorEastAsia" w:hAnsiTheme="minorEastAsia"/>
              </w:rPr>
            </w:pPr>
            <w:r>
              <w:rPr>
                <w:rFonts w:hint="eastAsia" w:asciiTheme="minorEastAsia" w:hAnsiTheme="minorEastAsia"/>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asciiTheme="minorEastAsia" w:hAnsiTheme="minorEastAsia"/>
              </w:rPr>
            </w:pPr>
            <w:r>
              <w:rPr>
                <w:rFonts w:hint="eastAsia" w:asciiTheme="minorEastAsia" w:hAnsiTheme="minorEastAsia"/>
              </w:rPr>
              <w:t>如意宝A</w:t>
            </w:r>
          </w:p>
        </w:tc>
        <w:tc>
          <w:tcPr>
            <w:tcW w:w="1420" w:type="dxa"/>
            <w:vAlign w:val="center"/>
          </w:tcPr>
          <w:p>
            <w:pPr>
              <w:jc w:val="center"/>
              <w:rPr>
                <w:rFonts w:asciiTheme="minorEastAsia" w:hAnsiTheme="minorEastAsia"/>
              </w:rPr>
            </w:pPr>
            <w:r>
              <w:rPr>
                <w:rFonts w:asciiTheme="minorEastAsia" w:hAnsiTheme="minorEastAsia"/>
              </w:rPr>
              <w:t>99</w:t>
            </w:r>
            <w:r>
              <w:rPr>
                <w:rFonts w:hint="eastAsia" w:asciiTheme="minorEastAsia" w:hAnsiTheme="minorEastAsia"/>
              </w:rPr>
              <w:t>元/年</w:t>
            </w:r>
          </w:p>
        </w:tc>
        <w:tc>
          <w:tcPr>
            <w:tcW w:w="5720"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.免除补制账单手续费服务3次/年</w:t>
            </w:r>
          </w:p>
          <w:p>
            <w:pPr>
              <w:jc w:val="left"/>
              <w:rPr>
                <w:rFonts w:asciiTheme="minorEastAsia" w:hAnsiTheme="minorEastAsia"/>
              </w:rPr>
            </w:pPr>
            <w:r>
              <w:rPr>
                <w:rFonts w:asciiTheme="minorEastAsia" w:hAnsiTheme="minorEastAsia"/>
              </w:rPr>
              <w:t>3.</w:t>
            </w:r>
            <w:r>
              <w:rPr>
                <w:rFonts w:hint="eastAsia" w:asciiTheme="minorEastAsia" w:hAnsiTheme="minorEastAsia"/>
              </w:rPr>
              <w:t>意外入院医疗保险服务(附赠保险权益，最高保额1万元)</w:t>
            </w:r>
          </w:p>
          <w:p>
            <w:pPr>
              <w:jc w:val="left"/>
              <w:rPr>
                <w:rFonts w:asciiTheme="minorEastAsia" w:hAnsiTheme="minorEastAsia"/>
              </w:rPr>
            </w:pPr>
            <w:r>
              <w:rPr>
                <w:rFonts w:asciiTheme="minorEastAsia" w:hAnsiTheme="minorEastAsia"/>
              </w:rPr>
              <w:t>4</w:t>
            </w:r>
            <w:r>
              <w:rPr>
                <w:rFonts w:hint="eastAsia" w:asciiTheme="minorEastAsia" w:hAnsiTheme="minorEastAsia"/>
              </w:rPr>
              <w:t>.综合意外伤害保险服务（附赠保险权益，最高保额10万元）</w:t>
            </w:r>
          </w:p>
          <w:p>
            <w:pPr>
              <w:jc w:val="left"/>
              <w:rPr>
                <w:rFonts w:asciiTheme="minorEastAsia" w:hAnsiTheme="minorEastAsia"/>
              </w:rPr>
            </w:pPr>
            <w:r>
              <w:rPr>
                <w:rFonts w:asciiTheme="minorEastAsia" w:hAnsiTheme="minorEastAsia"/>
              </w:rPr>
              <w:t>5</w:t>
            </w:r>
            <w:r>
              <w:rPr>
                <w:rFonts w:hint="eastAsia" w:asciiTheme="minorEastAsia" w:hAnsiTheme="minorEastAsia"/>
              </w:rPr>
              <w:t>.疫苗接种意外保险服务(附赠保险权益，最高保额</w:t>
            </w:r>
            <w:r>
              <w:rPr>
                <w:rFonts w:asciiTheme="minorEastAsia" w:hAnsiTheme="minorEastAsia"/>
              </w:rPr>
              <w:t>1</w:t>
            </w:r>
            <w:r>
              <w:rPr>
                <w:rFonts w:hint="eastAsia" w:asciiTheme="minorEastAsia" w:hAnsiTheme="minorEastAsia"/>
              </w:rPr>
              <w:t xml:space="preserve">0万元)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asciiTheme="minorEastAsia" w:hAnsiTheme="minorEastAsia"/>
              </w:rPr>
            </w:pPr>
            <w:r>
              <w:rPr>
                <w:rFonts w:hint="eastAsia" w:asciiTheme="minorEastAsia" w:hAnsiTheme="minorEastAsia"/>
              </w:rPr>
              <w:t>如意宝B</w:t>
            </w:r>
          </w:p>
        </w:tc>
        <w:tc>
          <w:tcPr>
            <w:tcW w:w="1420" w:type="dxa"/>
            <w:vAlign w:val="center"/>
          </w:tcPr>
          <w:p>
            <w:pPr>
              <w:jc w:val="center"/>
              <w:rPr>
                <w:rFonts w:asciiTheme="minorEastAsia" w:hAnsiTheme="minorEastAsia"/>
              </w:rPr>
            </w:pPr>
            <w:r>
              <w:rPr>
                <w:rFonts w:asciiTheme="minorEastAsia" w:hAnsiTheme="minorEastAsia"/>
              </w:rPr>
              <w:t>199</w:t>
            </w:r>
            <w:r>
              <w:rPr>
                <w:rFonts w:hint="eastAsia" w:asciiTheme="minorEastAsia" w:hAnsiTheme="minorEastAsia"/>
              </w:rPr>
              <w:t>元/年</w:t>
            </w:r>
          </w:p>
        </w:tc>
        <w:tc>
          <w:tcPr>
            <w:tcW w:w="5720"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.免除补制账单手续费服务3次/年</w:t>
            </w:r>
          </w:p>
          <w:p>
            <w:pPr>
              <w:jc w:val="left"/>
              <w:rPr>
                <w:rFonts w:asciiTheme="minorEastAsia" w:hAnsiTheme="minorEastAsia"/>
              </w:rPr>
            </w:pPr>
            <w:r>
              <w:rPr>
                <w:rFonts w:asciiTheme="minorEastAsia" w:hAnsiTheme="minorEastAsia"/>
              </w:rPr>
              <w:t>3</w:t>
            </w:r>
            <w:r>
              <w:rPr>
                <w:rFonts w:hint="eastAsia" w:asciiTheme="minorEastAsia" w:hAnsiTheme="minorEastAsia"/>
              </w:rPr>
              <w:t>.综合意外伤害保险服务（附赠保险权益，最高保额</w:t>
            </w:r>
            <w:r>
              <w:rPr>
                <w:rFonts w:asciiTheme="minorEastAsia" w:hAnsiTheme="minorEastAsia"/>
              </w:rPr>
              <w:t>2</w:t>
            </w:r>
            <w:r>
              <w:rPr>
                <w:rFonts w:hint="eastAsia" w:asciiTheme="minorEastAsia" w:hAnsiTheme="minorEastAsia"/>
              </w:rPr>
              <w:t>0万元）</w:t>
            </w:r>
          </w:p>
          <w:p>
            <w:pPr>
              <w:jc w:val="left"/>
              <w:rPr>
                <w:rFonts w:asciiTheme="minorEastAsia" w:hAnsiTheme="minorEastAsia"/>
              </w:rPr>
            </w:pPr>
            <w:r>
              <w:rPr>
                <w:rFonts w:asciiTheme="minorEastAsia" w:hAnsiTheme="minorEastAsia"/>
              </w:rPr>
              <w:t>4</w:t>
            </w:r>
            <w:r>
              <w:rPr>
                <w:rFonts w:hint="eastAsia" w:asciiTheme="minorEastAsia" w:hAnsiTheme="minorEastAsia"/>
              </w:rPr>
              <w:t>.疫苗接种意外保险服务(附赠保险权益，最高保额</w:t>
            </w:r>
            <w:r>
              <w:rPr>
                <w:rFonts w:asciiTheme="minorEastAsia" w:hAnsiTheme="minorEastAsia"/>
              </w:rPr>
              <w:t>2</w:t>
            </w:r>
            <w:r>
              <w:rPr>
                <w:rFonts w:hint="eastAsia" w:asciiTheme="minorEastAsia" w:hAnsiTheme="minorEastAsia"/>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asciiTheme="minorEastAsia" w:hAnsiTheme="minorEastAsia"/>
              </w:rPr>
            </w:pPr>
            <w:r>
              <w:rPr>
                <w:rFonts w:hint="eastAsia" w:asciiTheme="minorEastAsia" w:hAnsiTheme="minorEastAsia"/>
              </w:rPr>
              <w:t>如意宝C</w:t>
            </w:r>
          </w:p>
        </w:tc>
        <w:tc>
          <w:tcPr>
            <w:tcW w:w="1420" w:type="dxa"/>
            <w:vAlign w:val="center"/>
          </w:tcPr>
          <w:p>
            <w:pPr>
              <w:jc w:val="center"/>
              <w:rPr>
                <w:rFonts w:asciiTheme="minorEastAsia" w:hAnsiTheme="minorEastAsia"/>
              </w:rPr>
            </w:pPr>
            <w:r>
              <w:rPr>
                <w:rFonts w:asciiTheme="minorEastAsia" w:hAnsiTheme="minorEastAsia"/>
              </w:rPr>
              <w:t>299</w:t>
            </w:r>
            <w:r>
              <w:rPr>
                <w:rFonts w:hint="eastAsia" w:asciiTheme="minorEastAsia" w:hAnsiTheme="minorEastAsia"/>
              </w:rPr>
              <w:t>元/年</w:t>
            </w:r>
          </w:p>
        </w:tc>
        <w:tc>
          <w:tcPr>
            <w:tcW w:w="5720"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.免除补制账单手续费服务</w:t>
            </w:r>
            <w:r>
              <w:rPr>
                <w:rFonts w:asciiTheme="minorEastAsia" w:hAnsiTheme="minorEastAsia"/>
              </w:rPr>
              <w:t>5</w:t>
            </w:r>
            <w:r>
              <w:rPr>
                <w:rFonts w:hint="eastAsia" w:asciiTheme="minorEastAsia" w:hAnsiTheme="minorEastAsia"/>
              </w:rPr>
              <w:t>次/年</w:t>
            </w:r>
          </w:p>
          <w:p>
            <w:pPr>
              <w:jc w:val="left"/>
              <w:rPr>
                <w:rFonts w:hint="default" w:asciiTheme="minorEastAsia" w:hAnsiTheme="minorEastAsia" w:eastAsiaTheme="minorEastAsia"/>
                <w:lang w:val="en-US" w:eastAsia="zh-CN"/>
              </w:rPr>
            </w:pPr>
            <w:r>
              <w:rPr>
                <w:rFonts w:hint="eastAsia" w:asciiTheme="minorEastAsia" w:hAnsiTheme="minorEastAsia"/>
              </w:rPr>
              <w:t>3</w:t>
            </w:r>
            <w:r>
              <w:rPr>
                <w:rFonts w:asciiTheme="minorEastAsia" w:hAnsiTheme="minorEastAsia"/>
              </w:rPr>
              <w:t>.</w:t>
            </w:r>
            <w:bookmarkStart w:id="1" w:name="_Hlk121765452"/>
            <w:r>
              <w:rPr>
                <w:rFonts w:hint="eastAsia" w:asciiTheme="minorEastAsia" w:hAnsiTheme="minorEastAsia"/>
              </w:rPr>
              <w:t>重大疾病二次诊疗服务</w:t>
            </w:r>
            <w:bookmarkEnd w:id="1"/>
            <w:r>
              <w:rPr>
                <w:rFonts w:hint="eastAsia" w:asciiTheme="minorEastAsia" w:hAnsiTheme="minorEastAsia"/>
                <w:lang w:val="en-US" w:eastAsia="zh-CN"/>
              </w:rPr>
              <w:t>限1次/年</w:t>
            </w:r>
          </w:p>
          <w:p>
            <w:pPr>
              <w:jc w:val="left"/>
              <w:rPr>
                <w:rFonts w:asciiTheme="minorEastAsia" w:hAnsiTheme="minorEastAsia"/>
              </w:rPr>
            </w:pPr>
            <w:r>
              <w:rPr>
                <w:rFonts w:asciiTheme="minorEastAsia" w:hAnsiTheme="minorEastAsia"/>
              </w:rPr>
              <w:t>4</w:t>
            </w:r>
            <w:r>
              <w:rPr>
                <w:rFonts w:hint="eastAsia" w:asciiTheme="minorEastAsia" w:hAnsiTheme="minorEastAsia"/>
              </w:rPr>
              <w:t>.综合意外伤害保险服务（附赠保险权益，最高保额</w:t>
            </w:r>
            <w:r>
              <w:rPr>
                <w:rFonts w:asciiTheme="minorEastAsia" w:hAnsiTheme="minorEastAsia"/>
              </w:rPr>
              <w:t>2</w:t>
            </w:r>
            <w:r>
              <w:rPr>
                <w:rFonts w:hint="eastAsia" w:asciiTheme="minorEastAsia" w:hAnsiTheme="minorEastAsia"/>
              </w:rPr>
              <w:t>0万元）</w:t>
            </w:r>
          </w:p>
          <w:p>
            <w:pPr>
              <w:jc w:val="left"/>
              <w:rPr>
                <w:rFonts w:asciiTheme="minorEastAsia" w:hAnsiTheme="minorEastAsia"/>
              </w:rPr>
            </w:pPr>
            <w:r>
              <w:rPr>
                <w:rFonts w:asciiTheme="minorEastAsia" w:hAnsiTheme="minorEastAsia"/>
              </w:rPr>
              <w:t>5</w:t>
            </w:r>
            <w:r>
              <w:rPr>
                <w:rFonts w:hint="eastAsia" w:asciiTheme="minorEastAsia" w:hAnsiTheme="minorEastAsia"/>
              </w:rPr>
              <w:t>.疫苗接种意外保险服务(附赠保险权益，最高保额</w:t>
            </w:r>
            <w:r>
              <w:rPr>
                <w:rFonts w:asciiTheme="minorEastAsia" w:hAnsiTheme="minorEastAsia"/>
              </w:rPr>
              <w:t>2</w:t>
            </w:r>
            <w:r>
              <w:rPr>
                <w:rFonts w:hint="eastAsia" w:asciiTheme="minorEastAsia" w:hAnsiTheme="minorEastAsia"/>
              </w:rPr>
              <w:t>0万元)</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w:t>
      </w:r>
      <w:r>
        <w:rPr>
          <w:rFonts w:hint="eastAsia" w:asciiTheme="minorEastAsia" w:hAnsiTheme="minorEastAsia"/>
          <w:b/>
          <w:bCs/>
        </w:rPr>
        <w:t>ETC交易</w:t>
      </w:r>
      <w:r>
        <w:rPr>
          <w:rFonts w:hint="eastAsia" w:asciiTheme="minorEastAsia" w:hAnsiTheme="minorEastAsia"/>
          <w:b/>
          <w:bCs/>
          <w:lang w:val="en-US" w:eastAsia="zh-CN"/>
        </w:rPr>
        <w:t>除外</w:t>
      </w:r>
      <w:r>
        <w:rPr>
          <w:rFonts w:hint="eastAsia" w:asciiTheme="minorEastAsia" w:hAnsiTheme="minorEastAsia"/>
        </w:rPr>
        <w:t>）。</w:t>
      </w:r>
    </w:p>
    <w:p>
      <w:pPr>
        <w:ind w:firstLine="422" w:firstLineChars="200"/>
        <w:jc w:val="left"/>
        <w:rPr>
          <w:rFonts w:asciiTheme="minorEastAsia" w:hAnsiTheme="minorEastAsia"/>
          <w:b/>
          <w:bCs/>
        </w:rPr>
      </w:pPr>
      <w:r>
        <w:rPr>
          <w:rFonts w:hint="eastAsia" w:asciiTheme="minorEastAsia" w:hAnsiTheme="minorEastAsia"/>
          <w:b/>
          <w:bCs/>
        </w:rPr>
        <w:t>2.免除补制账单手续费服务内容</w:t>
      </w:r>
    </w:p>
    <w:p>
      <w:pPr>
        <w:ind w:firstLine="420" w:firstLineChars="200"/>
        <w:jc w:val="left"/>
        <w:rPr>
          <w:rFonts w:asciiTheme="minorEastAsia" w:hAnsiTheme="minorEastAsia"/>
        </w:rPr>
      </w:pPr>
      <w:r>
        <w:rPr>
          <w:rFonts w:hint="eastAsia" w:asciiTheme="minorEastAsia" w:hAnsiTheme="minorEastAsia"/>
        </w:rPr>
        <w:t>在服务有效期内，对于购买“如意宝”优选增值服务产品的持卡人，可免除补制账单手续费。如意宝A</w:t>
      </w:r>
      <w:r>
        <w:rPr>
          <w:rFonts w:asciiTheme="minorEastAsia" w:hAnsiTheme="minorEastAsia"/>
        </w:rPr>
        <w:t>/B</w:t>
      </w:r>
      <w:r>
        <w:rPr>
          <w:rFonts w:hint="eastAsia" w:asciiTheme="minorEastAsia" w:hAnsiTheme="minorEastAsia"/>
        </w:rPr>
        <w:t>产品可享受每年免除3次、如意宝</w:t>
      </w:r>
      <w:r>
        <w:rPr>
          <w:rFonts w:asciiTheme="minorEastAsia" w:hAnsiTheme="minorEastAsia"/>
        </w:rPr>
        <w:t>C</w:t>
      </w:r>
      <w:r>
        <w:rPr>
          <w:rFonts w:hint="eastAsia" w:asciiTheme="minorEastAsia" w:hAnsiTheme="minorEastAsia"/>
        </w:rPr>
        <w:t>产品可享受每年免除</w:t>
      </w:r>
      <w:r>
        <w:rPr>
          <w:rFonts w:asciiTheme="minorEastAsia" w:hAnsiTheme="minorEastAsia"/>
        </w:rPr>
        <w:t>5</w:t>
      </w:r>
      <w:r>
        <w:rPr>
          <w:rFonts w:hint="eastAsia" w:asciiTheme="minorEastAsia" w:hAnsiTheme="minorEastAsia"/>
        </w:rPr>
        <w:t>次，超出次数正常收取</w:t>
      </w:r>
      <w:r>
        <w:rPr>
          <w:rFonts w:asciiTheme="minorEastAsia" w:hAnsiTheme="minorEastAsia"/>
        </w:rPr>
        <w:t>5</w:t>
      </w:r>
      <w:r>
        <w:rPr>
          <w:rFonts w:hint="eastAsia" w:asciiTheme="minorEastAsia" w:hAnsiTheme="minorEastAsia"/>
        </w:rPr>
        <w:t xml:space="preserve">元/期补制手续费。 </w:t>
      </w:r>
    </w:p>
    <w:p>
      <w:pPr>
        <w:numPr>
          <w:ilvl w:val="0"/>
          <w:numId w:val="3"/>
        </w:numPr>
        <w:tabs>
          <w:tab w:val="left" w:pos="640"/>
        </w:tabs>
        <w:jc w:val="left"/>
        <w:rPr>
          <w:rFonts w:asciiTheme="minorEastAsia" w:hAnsiTheme="minorEastAsia"/>
        </w:rPr>
      </w:pPr>
      <w:r>
        <w:rPr>
          <w:rFonts w:hint="eastAsia" w:asciiTheme="minorEastAsia" w:hAnsiTheme="minorEastAsia"/>
          <w:b/>
          <w:bCs/>
        </w:rPr>
        <w:t>重大疾病二次诊疗服务内容</w:t>
      </w:r>
      <w:r>
        <w:rPr>
          <w:rFonts w:hint="eastAsia" w:asciiTheme="minorEastAsia" w:hAnsiTheme="minorEastAsia"/>
        </w:rPr>
        <w:t>（仅限购买如意宝C产品的持卡人享有）</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对于购买“如意宝C”优选增值服务产品的持卡人，在服务有效期内，可享受由权威机构及医生提供的针对约定范围内的重大疾病中的二次诊疗意见。</w:t>
      </w:r>
    </w:p>
    <w:p>
      <w:pPr>
        <w:tabs>
          <w:tab w:val="left" w:pos="640"/>
        </w:tabs>
        <w:ind w:firstLine="420" w:firstLineChars="200"/>
        <w:jc w:val="left"/>
        <w:rPr>
          <w:rFonts w:hint="eastAsia" w:asciiTheme="minorEastAsia" w:hAnsiTheme="minorEastAsia"/>
        </w:rPr>
      </w:pPr>
      <w:r>
        <w:rPr>
          <w:rFonts w:hint="eastAsia" w:asciiTheme="minorEastAsia" w:hAnsiTheme="minorEastAsia"/>
        </w:rPr>
        <w:t>（1）</w:t>
      </w:r>
      <w:r>
        <w:rPr>
          <w:rFonts w:hint="eastAsia" w:asciiTheme="minorEastAsia" w:hAnsiTheme="minorEastAsia" w:cstheme="minorBidi"/>
          <w:b/>
          <w:bCs/>
          <w:sz w:val="21"/>
          <w:szCs w:val="24"/>
          <w:lang w:val="en-US" w:eastAsia="zh-CN"/>
        </w:rPr>
        <w:t>2024年8月9日0:00之前的订单享受的服务及流程如下</w:t>
      </w:r>
      <w:r>
        <w:rPr>
          <w:rFonts w:hint="eastAsia" w:asciiTheme="minorEastAsia" w:hAnsiTheme="minorEastAsia"/>
          <w:b/>
          <w:bCs/>
          <w:lang w:val="en-US" w:eastAsia="zh-CN"/>
        </w:rPr>
        <w:t>：</w:t>
      </w:r>
    </w:p>
    <w:p>
      <w:pPr>
        <w:tabs>
          <w:tab w:val="left" w:pos="312"/>
          <w:tab w:val="left" w:pos="640"/>
        </w:tabs>
        <w:ind w:firstLine="420" w:firstLineChars="200"/>
        <w:jc w:val="left"/>
        <w:rPr>
          <w:rFonts w:asciiTheme="minorEastAsia" w:hAnsiTheme="minorEastAsia"/>
        </w:rPr>
      </w:pPr>
      <w:r>
        <w:rPr>
          <w:rFonts w:hint="default" w:ascii="Calibri" w:hAnsi="Calibri" w:cs="Calibri"/>
        </w:rPr>
        <w:t>①</w:t>
      </w:r>
      <w:r>
        <w:rPr>
          <w:rFonts w:hint="eastAsia" w:asciiTheme="minorEastAsia" w:hAnsiTheme="minorEastAsia"/>
        </w:rPr>
        <w:t>服务</w:t>
      </w:r>
      <w:r>
        <w:rPr>
          <w:rFonts w:hint="eastAsia" w:asciiTheme="minorEastAsia" w:hAnsiTheme="minorEastAsia"/>
          <w:lang w:val="en-US" w:eastAsia="zh-CN"/>
        </w:rPr>
        <w:t>内容</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在服务有效期内，</w:t>
      </w:r>
      <w:r>
        <w:rPr>
          <w:rFonts w:hint="eastAsia" w:asciiTheme="minorEastAsia" w:hAnsiTheme="minorEastAsia"/>
          <w:b/>
          <w:bCs/>
        </w:rPr>
        <w:t>如罹患</w:t>
      </w:r>
      <w:r>
        <w:rPr>
          <w:rFonts w:hint="eastAsia" w:asciiTheme="minorEastAsia" w:hAnsiTheme="minorEastAsia"/>
          <w:b/>
          <w:bCs/>
          <w:lang w:val="en-US" w:eastAsia="zh-CN"/>
        </w:rPr>
        <w:t>规定的</w:t>
      </w:r>
      <w:r>
        <w:rPr>
          <w:rFonts w:hint="eastAsia" w:asciiTheme="minorEastAsia" w:hAnsiTheme="minorEastAsia"/>
          <w:b/>
          <w:bCs/>
        </w:rPr>
        <w:t>重大疾病</w:t>
      </w:r>
      <w:r>
        <w:rPr>
          <w:rFonts w:hint="eastAsia" w:asciiTheme="minorEastAsia" w:hAnsiTheme="minorEastAsia"/>
          <w:b/>
          <w:bCs/>
          <w:lang w:val="en-US" w:eastAsia="zh-CN"/>
        </w:rPr>
        <w:t>中一种或多种</w:t>
      </w:r>
      <w:r>
        <w:rPr>
          <w:rFonts w:hint="eastAsia" w:asciiTheme="minorEastAsia" w:hAnsiTheme="minorEastAsia" w:eastAsiaTheme="minorEastAsia" w:cstheme="minorBidi"/>
          <w:b/>
          <w:bCs/>
        </w:rPr>
        <w:t>（详见《重大疾病服务二次诊疗疾病列表》）</w:t>
      </w:r>
      <w:r>
        <w:rPr>
          <w:rFonts w:hint="eastAsia" w:asciiTheme="minorEastAsia" w:hAnsiTheme="minorEastAsia"/>
        </w:rPr>
        <w:t>，</w:t>
      </w:r>
      <w:r>
        <w:rPr>
          <w:rFonts w:hint="eastAsia" w:asciiTheme="minorEastAsia" w:hAnsiTheme="minorEastAsia"/>
          <w:lang w:val="en-US" w:eastAsia="zh-CN"/>
        </w:rPr>
        <w:t>持卡人</w:t>
      </w:r>
      <w:r>
        <w:rPr>
          <w:rFonts w:hint="eastAsia" w:asciiTheme="minorEastAsia" w:hAnsiTheme="minorEastAsia"/>
          <w:highlight w:val="none"/>
        </w:rPr>
        <w:t>可以拨打</w:t>
      </w:r>
      <w:r>
        <w:rPr>
          <w:rFonts w:hint="eastAsia" w:asciiTheme="minorEastAsia" w:hAnsiTheme="minorEastAsia"/>
          <w:b w:val="0"/>
          <w:bCs w:val="0"/>
        </w:rPr>
        <w:t>太平财产保险有限公司</w:t>
      </w:r>
      <w:r>
        <w:rPr>
          <w:rFonts w:hint="eastAsia" w:asciiTheme="minorEastAsia" w:hAnsiTheme="minorEastAsia"/>
          <w:highlight w:val="none"/>
        </w:rPr>
        <w:t>合作机构</w:t>
      </w:r>
      <w:r>
        <w:rPr>
          <w:rFonts w:hint="eastAsia" w:asciiTheme="minorEastAsia" w:hAnsiTheme="minorEastAsia"/>
          <w:highlight w:val="none"/>
          <w:lang w:val="en-US" w:eastAsia="zh-CN"/>
        </w:rPr>
        <w:t>镁信</w:t>
      </w:r>
      <w:r>
        <w:rPr>
          <w:rFonts w:hint="eastAsia" w:asciiTheme="minorEastAsia" w:hAnsiTheme="minorEastAsia"/>
          <w:highlight w:val="none"/>
        </w:rPr>
        <w:t>健康服务热线</w:t>
      </w:r>
      <w:r>
        <w:rPr>
          <w:rFonts w:hint="eastAsia" w:asciiTheme="minorEastAsia" w:hAnsiTheme="minorEastAsia"/>
          <w:highlight w:val="none"/>
          <w:lang w:val="en-US" w:eastAsia="zh-CN"/>
        </w:rPr>
        <w:t>400-050-6770（热线服务时间9:00-18:00）</w:t>
      </w:r>
      <w:r>
        <w:rPr>
          <w:rFonts w:hint="eastAsia" w:asciiTheme="minorEastAsia" w:hAnsiTheme="minorEastAsia"/>
          <w:highlight w:val="none"/>
          <w:lang w:eastAsia="zh-CN"/>
        </w:rPr>
        <w:t>，</w:t>
      </w:r>
      <w:r>
        <w:rPr>
          <w:rFonts w:hint="eastAsia" w:asciiTheme="minorEastAsia" w:hAnsiTheme="minorEastAsia"/>
        </w:rPr>
        <w:t>服务机构</w:t>
      </w:r>
      <w:r>
        <w:rPr>
          <w:rFonts w:hint="eastAsia"/>
        </w:rPr>
        <w:t>将根据</w:t>
      </w:r>
      <w:r>
        <w:rPr>
          <w:rFonts w:hint="eastAsia"/>
          <w:lang w:val="en-US" w:eastAsia="zh-CN"/>
        </w:rPr>
        <w:t>持卡人</w:t>
      </w:r>
      <w:r>
        <w:rPr>
          <w:rFonts w:hint="eastAsia"/>
        </w:rPr>
        <w:t>的疾病诊断、既往就诊记录及相关医学检查资料，为其在国内知名三甲医院或国外综合实力排名靠前医院范围甄选符合条件的专家，并预约好专家的二</w:t>
      </w:r>
      <w:r>
        <w:rPr>
          <w:rFonts w:hint="eastAsia"/>
          <w:lang w:val="en-US" w:eastAsia="zh-CN"/>
        </w:rPr>
        <w:t>次</w:t>
      </w:r>
      <w:r>
        <w:rPr>
          <w:rFonts w:hint="eastAsia"/>
        </w:rPr>
        <w:t>诊疗咨询服务。</w:t>
      </w:r>
    </w:p>
    <w:p>
      <w:pPr>
        <w:tabs>
          <w:tab w:val="left" w:pos="312"/>
          <w:tab w:val="left" w:pos="640"/>
        </w:tabs>
        <w:ind w:firstLine="420" w:firstLineChars="200"/>
        <w:jc w:val="left"/>
        <w:rPr>
          <w:rFonts w:asciiTheme="minorEastAsia" w:hAnsiTheme="minorEastAsia"/>
        </w:rPr>
      </w:pPr>
      <w:r>
        <w:rPr>
          <w:rFonts w:hint="default" w:ascii="Calibri" w:hAnsi="Calibri" w:cs="Calibri"/>
        </w:rPr>
        <w:t>②</w:t>
      </w:r>
      <w:r>
        <w:rPr>
          <w:rFonts w:hint="eastAsia" w:asciiTheme="minorEastAsia" w:hAnsiTheme="minorEastAsia"/>
          <w:lang w:val="en-US" w:eastAsia="zh-CN"/>
        </w:rPr>
        <w:t>服务</w:t>
      </w:r>
      <w:r>
        <w:rPr>
          <w:rFonts w:hint="eastAsia" w:asciiTheme="minorEastAsia" w:hAnsiTheme="minorEastAsia"/>
        </w:rPr>
        <w:t>流程</w:t>
      </w:r>
    </w:p>
    <w:p>
      <w:pPr>
        <w:widowControl/>
        <w:numPr>
          <w:ilvl w:val="0"/>
          <w:numId w:val="0"/>
        </w:numPr>
        <w:tabs>
          <w:tab w:val="left" w:pos="312"/>
          <w:tab w:val="left" w:pos="640"/>
        </w:tabs>
        <w:ind w:firstLine="420" w:firstLineChars="200"/>
        <w:jc w:val="left"/>
        <w:rPr>
          <w:rFonts w:asciiTheme="minorEastAsia" w:hAnsiTheme="minorEastAsia"/>
        </w:rPr>
      </w:pPr>
      <w:r>
        <w:rPr>
          <w:rFonts w:hint="eastAsia" w:asciiTheme="minorEastAsia" w:hAnsiTheme="minorEastAsia"/>
        </w:rPr>
        <w:t>1）</w:t>
      </w:r>
      <w:r>
        <w:rPr>
          <w:rFonts w:hint="eastAsia" w:asciiTheme="minorEastAsia" w:hAnsiTheme="minorEastAsia"/>
          <w:lang w:val="en-US" w:eastAsia="zh-CN"/>
        </w:rPr>
        <w:t>持卡人</w:t>
      </w:r>
      <w:r>
        <w:rPr>
          <w:rFonts w:hint="eastAsia" w:asciiTheme="minorEastAsia" w:hAnsiTheme="minorEastAsia" w:eastAsiaTheme="minorEastAsia" w:cstheme="minorBidi"/>
          <w:b w:val="0"/>
          <w:bCs w:val="0"/>
          <w:sz w:val="21"/>
          <w:szCs w:val="24"/>
          <w:lang w:val="en-US" w:eastAsia="zh-CN"/>
        </w:rPr>
        <w:t>拨打服务电话</w:t>
      </w:r>
      <w:r>
        <w:rPr>
          <w:rFonts w:hint="eastAsia" w:asciiTheme="minorEastAsia" w:hAnsiTheme="minorEastAsia" w:eastAsiaTheme="minorEastAsia" w:cstheme="minorBidi"/>
          <w:b w:val="0"/>
          <w:bCs w:val="0"/>
          <w:color w:val="000000"/>
          <w:sz w:val="21"/>
          <w:szCs w:val="24"/>
          <w:shd w:val="clear" w:color="auto" w:fill="auto"/>
        </w:rPr>
        <w:t>400-050-6770</w:t>
      </w:r>
      <w:r>
        <w:rPr>
          <w:rFonts w:hint="eastAsia" w:asciiTheme="minorEastAsia" w:hAnsiTheme="minorEastAsia" w:eastAsiaTheme="minorEastAsia" w:cstheme="minorBidi"/>
          <w:b w:val="0"/>
          <w:bCs w:val="0"/>
          <w:color w:val="000000"/>
          <w:sz w:val="21"/>
          <w:szCs w:val="24"/>
          <w:shd w:val="clear" w:color="auto" w:fill="auto"/>
          <w:lang w:val="en-US" w:eastAsia="zh-CN"/>
        </w:rPr>
        <w:t>进行申请</w:t>
      </w:r>
      <w:r>
        <w:rPr>
          <w:rFonts w:hint="eastAsia" w:asciiTheme="minorEastAsia" w:hAnsiTheme="minorEastAsia" w:eastAsiaTheme="minorEastAsia" w:cstheme="minorBidi"/>
          <w:b w:val="0"/>
          <w:bCs w:val="0"/>
          <w:sz w:val="21"/>
          <w:szCs w:val="24"/>
          <w:lang w:val="en-US" w:eastAsia="zh-CN"/>
        </w:rPr>
        <w:t>（服务时间9:00-18:00）</w:t>
      </w:r>
      <w:r>
        <w:rPr>
          <w:rFonts w:hint="eastAsia" w:asciiTheme="minorEastAsia" w:hAnsiTheme="minorEastAsia" w:eastAsiaTheme="minorEastAsia" w:cstheme="minorBidi"/>
          <w:b w:val="0"/>
          <w:bCs w:val="0"/>
          <w:color w:val="000000"/>
          <w:sz w:val="21"/>
          <w:szCs w:val="24"/>
          <w:shd w:val="clear" w:color="auto" w:fill="auto"/>
          <w:lang w:val="en-US" w:eastAsia="zh-CN"/>
        </w:rPr>
        <w:t>；</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shd w:val="clear" w:color="auto" w:fill="auto"/>
          <w:lang w:val="en-US" w:eastAsia="zh-CN"/>
        </w:rPr>
      </w:pPr>
      <w:r>
        <w:rPr>
          <w:rFonts w:hint="eastAsia" w:asciiTheme="minorEastAsia" w:hAnsiTheme="minorEastAsia"/>
        </w:rPr>
        <w:t>2）</w:t>
      </w:r>
      <w:r>
        <w:rPr>
          <w:rFonts w:hint="eastAsia" w:asciiTheme="minorEastAsia" w:hAnsiTheme="minorEastAsia" w:eastAsiaTheme="minorEastAsia" w:cstheme="minorBidi"/>
          <w:b w:val="0"/>
          <w:bCs w:val="0"/>
          <w:color w:val="000000"/>
          <w:sz w:val="21"/>
          <w:szCs w:val="24"/>
          <w:shd w:val="clear" w:color="auto" w:fill="auto"/>
          <w:lang w:val="en-US" w:eastAsia="zh-CN"/>
        </w:rPr>
        <w:t>告知客服需要申请二次诊疗服务，</w:t>
      </w:r>
      <w:r>
        <w:rPr>
          <w:rFonts w:hint="eastAsia" w:asciiTheme="minorEastAsia" w:hAnsiTheme="minorEastAsia" w:cstheme="minorBidi"/>
          <w:b w:val="0"/>
          <w:bCs w:val="0"/>
          <w:sz w:val="21"/>
          <w:szCs w:val="24"/>
          <w:shd w:val="clear"/>
          <w:lang w:val="en-US" w:eastAsia="zh-CN"/>
        </w:rPr>
        <w:t>客服核实相关信息后，持卡人需</w:t>
      </w:r>
      <w:r>
        <w:rPr>
          <w:rFonts w:hint="eastAsia" w:asciiTheme="minorEastAsia" w:hAnsiTheme="minorEastAsia" w:eastAsiaTheme="minorEastAsia" w:cstheme="minorBidi"/>
          <w:b w:val="0"/>
          <w:bCs w:val="0"/>
          <w:color w:val="000000"/>
          <w:sz w:val="21"/>
          <w:szCs w:val="24"/>
          <w:shd w:val="clear" w:color="auto" w:fill="auto"/>
          <w:lang w:val="en-US" w:eastAsia="zh-CN"/>
        </w:rPr>
        <w:t>提供以下资料：</w:t>
      </w:r>
      <w:r>
        <w:rPr>
          <w:rFonts w:hint="eastAsia" w:asciiTheme="minorEastAsia" w:hAnsiTheme="minorEastAsia" w:cstheme="minorBidi"/>
          <w:b w:val="0"/>
          <w:bCs w:val="0"/>
          <w:sz w:val="21"/>
          <w:szCs w:val="24"/>
          <w:shd w:val="clear"/>
          <w:lang w:val="en-US" w:eastAsia="zh-CN"/>
        </w:rPr>
        <w:t>医疗诊断证明</w:t>
      </w:r>
      <w:r>
        <w:rPr>
          <w:rFonts w:hint="eastAsia" w:asciiTheme="minorEastAsia" w:hAnsiTheme="minorEastAsia" w:eastAsiaTheme="minorEastAsia" w:cstheme="minorBidi"/>
          <w:b w:val="0"/>
          <w:bCs w:val="0"/>
          <w:color w:val="000000"/>
          <w:sz w:val="21"/>
          <w:szCs w:val="24"/>
          <w:shd w:val="clear" w:color="auto" w:fill="auto"/>
          <w:lang w:val="en-US" w:eastAsia="zh-CN"/>
        </w:rPr>
        <w:t>、</w:t>
      </w:r>
      <w:r>
        <w:rPr>
          <w:rFonts w:hint="eastAsia" w:asciiTheme="minorEastAsia" w:hAnsiTheme="minorEastAsia" w:eastAsiaTheme="minorEastAsia" w:cstheme="minorBidi"/>
          <w:b w:val="0"/>
          <w:bCs w:val="0"/>
          <w:color w:val="000000"/>
          <w:kern w:val="2"/>
          <w:sz w:val="21"/>
          <w:szCs w:val="24"/>
        </w:rPr>
        <w:t>姓名、身份证号码、电话号码、保单号</w:t>
      </w:r>
      <w:r>
        <w:rPr>
          <w:rFonts w:hint="eastAsia" w:asciiTheme="minorEastAsia" w:hAnsiTheme="minorEastAsia" w:eastAsiaTheme="minorEastAsia" w:cstheme="minorBidi"/>
          <w:b w:val="0"/>
          <w:bCs w:val="0"/>
          <w:color w:val="000000"/>
          <w:kern w:val="2"/>
          <w:sz w:val="21"/>
          <w:szCs w:val="24"/>
          <w:lang w:val="en-US" w:eastAsia="zh-CN"/>
        </w:rPr>
        <w:t>和具体需求</w:t>
      </w:r>
      <w:r>
        <w:rPr>
          <w:rFonts w:hint="eastAsia" w:asciiTheme="minorEastAsia" w:hAnsiTheme="minorEastAsia" w:eastAsiaTheme="minorEastAsia" w:cstheme="minorBidi"/>
          <w:b w:val="0"/>
          <w:bCs w:val="0"/>
          <w:color w:val="000000"/>
          <w:kern w:val="2"/>
          <w:sz w:val="21"/>
          <w:szCs w:val="24"/>
          <w:lang w:eastAsia="zh-CN"/>
        </w:rPr>
        <w:t>；</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3）</w:t>
      </w:r>
      <w:r>
        <w:rPr>
          <w:rFonts w:hint="eastAsia" w:asciiTheme="minorEastAsia" w:hAnsiTheme="minorEastAsia" w:eastAsiaTheme="minorEastAsia" w:cstheme="minorBidi"/>
          <w:b w:val="0"/>
          <w:bCs w:val="0"/>
          <w:color w:val="000000"/>
          <w:sz w:val="21"/>
          <w:szCs w:val="24"/>
          <w:shd w:val="clear" w:color="auto" w:fill="auto"/>
          <w:lang w:val="en-US" w:eastAsia="zh-CN"/>
        </w:rPr>
        <w:t>专属人员接到需求将通过微信联系，进行</w:t>
      </w:r>
      <w:r>
        <w:rPr>
          <w:rFonts w:hint="eastAsia" w:asciiTheme="minorEastAsia" w:hAnsiTheme="minorEastAsia" w:cstheme="minorBidi"/>
          <w:b w:val="0"/>
          <w:bCs w:val="0"/>
          <w:color w:val="000000"/>
          <w:sz w:val="21"/>
          <w:szCs w:val="24"/>
          <w:shd w:val="clear" w:color="auto" w:fill="auto"/>
          <w:lang w:val="en-US" w:eastAsia="zh-CN"/>
        </w:rPr>
        <w:t>持卡人</w:t>
      </w:r>
      <w:r>
        <w:rPr>
          <w:rFonts w:hint="eastAsia" w:asciiTheme="minorEastAsia" w:hAnsiTheme="minorEastAsia" w:eastAsiaTheme="minorEastAsia" w:cstheme="minorBidi"/>
          <w:b w:val="0"/>
          <w:bCs w:val="0"/>
          <w:color w:val="000000"/>
          <w:sz w:val="21"/>
          <w:szCs w:val="24"/>
          <w:shd w:val="clear" w:color="auto" w:fill="auto"/>
          <w:lang w:val="en-US" w:eastAsia="zh-CN"/>
        </w:rPr>
        <w:t>的需求确认及材料查漏补缺；</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4）</w:t>
      </w:r>
      <w:r>
        <w:rPr>
          <w:rFonts w:hint="eastAsia" w:asciiTheme="minorEastAsia" w:hAnsiTheme="minorEastAsia" w:eastAsiaTheme="minorEastAsia" w:cstheme="minorBidi"/>
          <w:b w:val="0"/>
          <w:bCs w:val="0"/>
          <w:color w:val="000000"/>
          <w:sz w:val="21"/>
          <w:szCs w:val="24"/>
          <w:shd w:val="clear" w:color="auto" w:fill="auto"/>
          <w:lang w:val="en-US" w:eastAsia="zh-CN"/>
        </w:rPr>
        <w:t>资料集齐后1个工作日内向</w:t>
      </w:r>
      <w:r>
        <w:rPr>
          <w:rFonts w:hint="eastAsia" w:asciiTheme="minorEastAsia" w:hAnsiTheme="minorEastAsia" w:cstheme="minorBidi"/>
          <w:b w:val="0"/>
          <w:bCs w:val="0"/>
          <w:color w:val="000000"/>
          <w:sz w:val="21"/>
          <w:szCs w:val="24"/>
          <w:shd w:val="clear" w:color="auto" w:fill="auto"/>
          <w:lang w:val="en-US" w:eastAsia="zh-CN"/>
        </w:rPr>
        <w:t>持卡人</w:t>
      </w:r>
      <w:r>
        <w:rPr>
          <w:rFonts w:hint="eastAsia" w:asciiTheme="minorEastAsia" w:hAnsiTheme="minorEastAsia" w:eastAsiaTheme="minorEastAsia" w:cstheme="minorBidi"/>
          <w:b w:val="0"/>
          <w:bCs w:val="0"/>
          <w:color w:val="000000"/>
          <w:sz w:val="21"/>
          <w:szCs w:val="24"/>
          <w:shd w:val="clear" w:color="auto" w:fill="auto"/>
          <w:lang w:val="en-US" w:eastAsia="zh-CN"/>
        </w:rPr>
        <w:t>反馈预约情况，并向</w:t>
      </w:r>
      <w:r>
        <w:rPr>
          <w:rFonts w:hint="eastAsia" w:asciiTheme="minorEastAsia" w:hAnsiTheme="minorEastAsia" w:cstheme="minorBidi"/>
          <w:b w:val="0"/>
          <w:bCs w:val="0"/>
          <w:color w:val="000000"/>
          <w:sz w:val="21"/>
          <w:szCs w:val="24"/>
          <w:shd w:val="clear" w:color="auto" w:fill="auto"/>
          <w:lang w:val="en-US" w:eastAsia="zh-CN"/>
        </w:rPr>
        <w:t>持卡人</w:t>
      </w:r>
      <w:r>
        <w:rPr>
          <w:rFonts w:hint="eastAsia" w:asciiTheme="minorEastAsia" w:hAnsiTheme="minorEastAsia" w:eastAsiaTheme="minorEastAsia" w:cstheme="minorBidi"/>
          <w:b w:val="0"/>
          <w:bCs w:val="0"/>
          <w:color w:val="000000"/>
          <w:sz w:val="21"/>
          <w:szCs w:val="24"/>
          <w:shd w:val="clear" w:color="auto" w:fill="auto"/>
          <w:lang w:val="en-US" w:eastAsia="zh-CN"/>
        </w:rPr>
        <w:t>确认是否启动服务；</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5）</w:t>
      </w:r>
      <w:r>
        <w:rPr>
          <w:rFonts w:hint="eastAsia" w:asciiTheme="minorEastAsia" w:hAnsiTheme="minorEastAsia" w:eastAsiaTheme="minorEastAsia" w:cstheme="minorBidi"/>
          <w:b w:val="0"/>
          <w:bCs w:val="0"/>
          <w:color w:val="000000"/>
          <w:sz w:val="21"/>
          <w:szCs w:val="24"/>
          <w:shd w:val="clear" w:color="auto" w:fill="auto"/>
          <w:lang w:val="en-US" w:eastAsia="zh-CN"/>
        </w:rPr>
        <w:t>确认启动服务后，会与</w:t>
      </w:r>
      <w:r>
        <w:rPr>
          <w:rFonts w:hint="eastAsia" w:asciiTheme="minorEastAsia" w:hAnsiTheme="minorEastAsia" w:cstheme="minorBidi"/>
          <w:b w:val="0"/>
          <w:bCs w:val="0"/>
          <w:color w:val="000000"/>
          <w:sz w:val="21"/>
          <w:szCs w:val="24"/>
          <w:shd w:val="clear" w:color="auto" w:fill="auto"/>
          <w:lang w:val="en-US" w:eastAsia="zh-CN"/>
        </w:rPr>
        <w:t>持卡人</w:t>
      </w:r>
      <w:r>
        <w:rPr>
          <w:rFonts w:hint="eastAsia" w:asciiTheme="minorEastAsia" w:hAnsiTheme="minorEastAsia" w:eastAsiaTheme="minorEastAsia" w:cstheme="minorBidi"/>
          <w:b w:val="0"/>
          <w:bCs w:val="0"/>
          <w:color w:val="000000"/>
          <w:sz w:val="21"/>
          <w:szCs w:val="24"/>
          <w:shd w:val="clear" w:color="auto" w:fill="auto"/>
          <w:lang w:val="en-US" w:eastAsia="zh-CN"/>
        </w:rPr>
        <w:t>保持沟通，并在就诊前</w:t>
      </w:r>
      <w:r>
        <w:rPr>
          <w:rFonts w:hint="eastAsia" w:asciiTheme="minorEastAsia" w:hAnsiTheme="minorEastAsia" w:eastAsiaTheme="minorEastAsia" w:cstheme="minorBidi"/>
          <w:b w:val="0"/>
          <w:color w:val="000000"/>
          <w:kern w:val="2"/>
          <w:sz w:val="21"/>
          <w:szCs w:val="24"/>
        </w:rPr>
        <w:t>将</w:t>
      </w:r>
      <w:r>
        <w:rPr>
          <w:rFonts w:hint="eastAsia" w:asciiTheme="minorEastAsia" w:hAnsiTheme="minorEastAsia" w:cstheme="minorBidi"/>
          <w:b w:val="0"/>
          <w:color w:val="000000"/>
          <w:kern w:val="2"/>
          <w:sz w:val="21"/>
          <w:szCs w:val="24"/>
          <w:lang w:val="en-US" w:eastAsia="zh-CN"/>
        </w:rPr>
        <w:t>持卡人</w:t>
      </w:r>
      <w:r>
        <w:rPr>
          <w:rFonts w:hint="eastAsia" w:asciiTheme="minorEastAsia" w:hAnsiTheme="minorEastAsia" w:eastAsiaTheme="minorEastAsia" w:cstheme="minorBidi"/>
          <w:b w:val="0"/>
          <w:color w:val="000000"/>
          <w:kern w:val="2"/>
          <w:sz w:val="21"/>
          <w:szCs w:val="24"/>
          <w:lang w:val="en-US" w:eastAsia="zh-CN"/>
        </w:rPr>
        <w:t>的</w:t>
      </w:r>
      <w:r>
        <w:rPr>
          <w:rFonts w:hint="eastAsia" w:asciiTheme="minorEastAsia" w:hAnsiTheme="minorEastAsia" w:eastAsiaTheme="minorEastAsia" w:cstheme="minorBidi"/>
          <w:b w:val="0"/>
          <w:color w:val="000000"/>
          <w:kern w:val="2"/>
          <w:sz w:val="21"/>
          <w:szCs w:val="24"/>
        </w:rPr>
        <w:t>资料提前同步专家</w:t>
      </w:r>
      <w:r>
        <w:rPr>
          <w:rFonts w:hint="eastAsia" w:asciiTheme="minorEastAsia" w:hAnsiTheme="minorEastAsia" w:eastAsiaTheme="minorEastAsia" w:cstheme="minorBidi"/>
          <w:b w:val="0"/>
          <w:bCs w:val="0"/>
          <w:color w:val="000000"/>
          <w:sz w:val="21"/>
          <w:szCs w:val="24"/>
          <w:shd w:val="clear" w:color="auto" w:fill="auto"/>
          <w:lang w:val="en-US" w:eastAsia="zh-CN"/>
        </w:rPr>
        <w:t>；</w:t>
      </w:r>
    </w:p>
    <w:p>
      <w:pPr>
        <w:tabs>
          <w:tab w:val="left" w:pos="312"/>
          <w:tab w:val="left" w:pos="640"/>
        </w:tabs>
        <w:ind w:firstLine="420" w:firstLineChars="200"/>
        <w:jc w:val="left"/>
        <w:rPr>
          <w:rFonts w:hint="eastAsia" w:asciiTheme="minorEastAsia" w:hAnsiTheme="minorEastAsia" w:eastAsiaTheme="minorEastAsia" w:cstheme="minorBidi"/>
          <w:b w:val="0"/>
          <w:bCs w:val="0"/>
          <w:sz w:val="21"/>
          <w:szCs w:val="24"/>
          <w:shd w:val="clear"/>
          <w:lang w:val="en-US" w:eastAsia="zh-CN"/>
        </w:rPr>
      </w:pPr>
      <w:r>
        <w:rPr>
          <w:rFonts w:hint="eastAsia" w:asciiTheme="minorEastAsia" w:hAnsiTheme="minorEastAsia"/>
        </w:rPr>
        <w:t>6）</w:t>
      </w:r>
      <w:r>
        <w:rPr>
          <w:rFonts w:hint="eastAsia" w:asciiTheme="minorEastAsia" w:hAnsiTheme="minorEastAsia" w:eastAsiaTheme="minorEastAsia" w:cstheme="minorBidi"/>
          <w:b w:val="0"/>
          <w:bCs w:val="0"/>
          <w:color w:val="000000"/>
          <w:sz w:val="21"/>
          <w:szCs w:val="24"/>
          <w:shd w:val="clear" w:color="auto" w:fill="auto"/>
          <w:lang w:val="en-US" w:eastAsia="zh-CN"/>
        </w:rPr>
        <w:t>就诊后，给</w:t>
      </w:r>
      <w:r>
        <w:rPr>
          <w:rFonts w:hint="eastAsia" w:asciiTheme="minorEastAsia" w:hAnsiTheme="minorEastAsia" w:cstheme="minorBidi"/>
          <w:b w:val="0"/>
          <w:color w:val="000000"/>
          <w:kern w:val="2"/>
          <w:sz w:val="21"/>
          <w:szCs w:val="24"/>
          <w:lang w:val="en-US" w:eastAsia="zh-CN"/>
        </w:rPr>
        <w:t>持卡人</w:t>
      </w:r>
      <w:r>
        <w:rPr>
          <w:rFonts w:hint="eastAsia" w:asciiTheme="minorEastAsia" w:hAnsiTheme="minorEastAsia" w:eastAsiaTheme="minorEastAsia" w:cstheme="minorBidi"/>
          <w:color w:val="000000"/>
          <w:kern w:val="2"/>
          <w:sz w:val="21"/>
          <w:szCs w:val="24"/>
        </w:rPr>
        <w:t>提供《二</w:t>
      </w:r>
      <w:r>
        <w:rPr>
          <w:rFonts w:hint="eastAsia" w:asciiTheme="minorEastAsia" w:hAnsiTheme="minorEastAsia" w:cstheme="minorBidi"/>
          <w:color w:val="000000"/>
          <w:kern w:val="2"/>
          <w:sz w:val="21"/>
          <w:szCs w:val="24"/>
          <w:lang w:val="en-US" w:eastAsia="zh-CN"/>
        </w:rPr>
        <w:t>次</w:t>
      </w:r>
      <w:r>
        <w:rPr>
          <w:rFonts w:hint="eastAsia" w:asciiTheme="minorEastAsia" w:hAnsiTheme="minorEastAsia" w:eastAsiaTheme="minorEastAsia" w:cstheme="minorBidi"/>
          <w:color w:val="000000"/>
          <w:kern w:val="2"/>
          <w:sz w:val="21"/>
          <w:szCs w:val="24"/>
        </w:rPr>
        <w:t>诊疗意见书》，并与</w:t>
      </w:r>
      <w:r>
        <w:rPr>
          <w:rFonts w:hint="eastAsia" w:asciiTheme="minorEastAsia" w:hAnsiTheme="minorEastAsia" w:cstheme="minorBidi"/>
          <w:b w:val="0"/>
          <w:color w:val="000000"/>
          <w:kern w:val="2"/>
          <w:sz w:val="21"/>
          <w:szCs w:val="24"/>
          <w:lang w:val="en-US" w:eastAsia="zh-CN"/>
        </w:rPr>
        <w:t>持卡人</w:t>
      </w:r>
      <w:r>
        <w:rPr>
          <w:rFonts w:hint="eastAsia" w:asciiTheme="minorEastAsia" w:hAnsiTheme="minorEastAsia" w:eastAsiaTheme="minorEastAsia" w:cstheme="minorBidi"/>
          <w:color w:val="000000"/>
          <w:kern w:val="2"/>
          <w:sz w:val="21"/>
          <w:szCs w:val="24"/>
        </w:rPr>
        <w:t>进行服务完成确认</w:t>
      </w:r>
      <w:r>
        <w:rPr>
          <w:rFonts w:hint="eastAsia" w:asciiTheme="minorEastAsia" w:hAnsiTheme="minorEastAsia" w:eastAsiaTheme="minorEastAsia" w:cstheme="minorBidi"/>
          <w:b w:val="0"/>
          <w:bCs w:val="0"/>
          <w:color w:val="000000"/>
          <w:sz w:val="21"/>
          <w:szCs w:val="24"/>
          <w:shd w:val="clear" w:color="auto" w:fill="auto"/>
          <w:lang w:val="en-US" w:eastAsia="zh-CN"/>
        </w:rPr>
        <w:t>。</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注：全球二次诊疗服务适用医疗机构详见《全球二次诊疗适用医疗机构清单》</w:t>
      </w:r>
    </w:p>
    <w:p>
      <w:pPr>
        <w:pStyle w:val="10"/>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（2）2024年8月9日0:00之后的订单（含续费订单）享受的服务及流程如下</w:t>
      </w:r>
      <w:r>
        <w:rPr>
          <w:rFonts w:hint="eastAsia" w:asciiTheme="minorEastAsia" w:hAnsiTheme="minorEastAsia"/>
          <w:b/>
          <w:bCs/>
          <w:lang w:val="en-US" w:eastAsia="zh-CN"/>
        </w:rPr>
        <w:t>：</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default" w:ascii="Calibri" w:hAnsi="Calibri" w:cs="Calibri"/>
          <w:b w:val="0"/>
          <w:bCs w:val="0"/>
          <w:sz w:val="21"/>
          <w:szCs w:val="24"/>
          <w:shd w:val="clear"/>
          <w:lang w:val="en-US" w:eastAsia="zh-CN"/>
        </w:rPr>
        <w:t>①</w:t>
      </w:r>
      <w:r>
        <w:rPr>
          <w:rFonts w:hint="eastAsia" w:asciiTheme="minorEastAsia" w:hAnsiTheme="minorEastAsia" w:cstheme="minorBidi"/>
          <w:b w:val="0"/>
          <w:bCs w:val="0"/>
          <w:sz w:val="21"/>
          <w:szCs w:val="24"/>
          <w:shd w:val="clear"/>
          <w:lang w:val="en-US" w:eastAsia="zh-CN"/>
        </w:rPr>
        <w:t>服务内容</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rPr>
        <w:t>在服务有效期内，</w:t>
      </w:r>
      <w:r>
        <w:rPr>
          <w:rFonts w:hint="eastAsia" w:asciiTheme="minorEastAsia" w:hAnsiTheme="minorEastAsia" w:cstheme="minorBidi"/>
          <w:b w:val="0"/>
          <w:bCs w:val="0"/>
          <w:sz w:val="21"/>
          <w:szCs w:val="24"/>
          <w:shd w:val="clear"/>
          <w:lang w:val="en-US" w:eastAsia="zh-CN"/>
        </w:rPr>
        <w:t>如罹患重大疾病（《重大疾病服务二次诊疗疾病列表》所述重大疾病范围），服务机构可提供重大疾病二次诊疗意见服务，甄选出全世界擅长治疗该病症的三位医疗机构专家，由持卡人或其主治医师从这三位专家中选择一位，以提供针对初诊结果的书面评估报告和对初诊处方治疗的书面研究意见。</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default" w:ascii="Calibri" w:hAnsi="Calibri" w:cs="Calibri"/>
          <w:b w:val="0"/>
          <w:bCs w:val="0"/>
          <w:sz w:val="21"/>
          <w:szCs w:val="24"/>
          <w:shd w:val="clear"/>
          <w:lang w:val="en-US" w:eastAsia="zh-CN"/>
        </w:rPr>
        <w:t>②</w:t>
      </w:r>
      <w:r>
        <w:rPr>
          <w:rFonts w:hint="eastAsia" w:asciiTheme="minorEastAsia" w:hAnsiTheme="minorEastAsia" w:cstheme="minorBidi"/>
          <w:b w:val="0"/>
          <w:bCs w:val="0"/>
          <w:sz w:val="21"/>
          <w:szCs w:val="24"/>
          <w:shd w:val="clear"/>
          <w:lang w:val="en-US" w:eastAsia="zh-CN"/>
        </w:rPr>
        <w:t>服务流程</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1）持卡人拨打服务热线0755-82395518提交服务申请；</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2）客服人员核实无误后转接至第三方服务公司；</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3）第三方服务公司收集持卡人的病例资料（持卡人需提供全国二级及二级以上公立医院的诊断证明，并且证明材料的有效期需要在本产品服务生效日之后方可启动服务）；</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4）收到持卡人资料后的1个工作日内，第三方完成资料审核；</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5）资料审核通过后的1-2个工作日为持卡人推荐合适的医院供客户选择；</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6）持卡人选择完成后5个工作日内完成二次诊疗意见服务；</w:t>
      </w:r>
    </w:p>
    <w:p>
      <w:pPr>
        <w:tabs>
          <w:tab w:val="left" w:pos="312"/>
          <w:tab w:val="left" w:pos="640"/>
        </w:tabs>
        <w:ind w:firstLine="420" w:firstLineChars="200"/>
        <w:jc w:val="left"/>
        <w:rPr>
          <w:rFonts w:hint="eastAsia" w:asciiTheme="minorEastAsia" w:hAnsiTheme="minorEastAsia" w:cstheme="minorBidi"/>
          <w:b w:val="0"/>
          <w:bCs w:val="0"/>
          <w:sz w:val="21"/>
          <w:szCs w:val="24"/>
          <w:shd w:val="clear"/>
          <w:lang w:val="en-US" w:eastAsia="zh-CN"/>
        </w:rPr>
      </w:pPr>
      <w:r>
        <w:rPr>
          <w:rFonts w:hint="eastAsia" w:asciiTheme="minorEastAsia" w:hAnsiTheme="minorEastAsia" w:cstheme="minorBidi"/>
          <w:b w:val="0"/>
          <w:bCs w:val="0"/>
          <w:sz w:val="21"/>
          <w:szCs w:val="24"/>
          <w:shd w:val="clear"/>
          <w:lang w:val="en-US" w:eastAsia="zh-CN"/>
        </w:rPr>
        <w:t>7）根据诊疗结果，为持卡人提供报告解读服务。</w:t>
      </w:r>
    </w:p>
    <w:p>
      <w:pPr>
        <w:numPr>
          <w:ilvl w:val="0"/>
          <w:numId w:val="3"/>
        </w:numPr>
        <w:tabs>
          <w:tab w:val="left" w:pos="640"/>
        </w:tabs>
        <w:jc w:val="left"/>
        <w:rPr>
          <w:rFonts w:asciiTheme="minorEastAsia" w:hAnsiTheme="minorEastAsia"/>
          <w:b/>
          <w:bCs/>
        </w:rPr>
      </w:pPr>
      <w:r>
        <w:rPr>
          <w:rFonts w:hint="eastAsia" w:asciiTheme="minorEastAsia" w:hAnsiTheme="minorEastAsia"/>
          <w:b/>
          <w:bCs/>
        </w:rPr>
        <w:t>意外入院医疗保险服务内容(附赠保险权益)</w:t>
      </w:r>
      <w:r>
        <w:rPr>
          <w:rFonts w:hint="eastAsia" w:asciiTheme="minorEastAsia" w:hAnsiTheme="minorEastAsia"/>
        </w:rPr>
        <w:t xml:space="preserve"> （仅限购买如意宝</w:t>
      </w:r>
      <w:r>
        <w:rPr>
          <w:rFonts w:asciiTheme="minorEastAsia" w:hAnsiTheme="minorEastAsia"/>
        </w:rPr>
        <w:t>A</w:t>
      </w:r>
      <w:r>
        <w:rPr>
          <w:rFonts w:hint="eastAsia" w:asciiTheme="minorEastAsia" w:hAnsiTheme="minorEastAsia"/>
        </w:rPr>
        <w:t>产品的持卡人享有）</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该保险服务为卡中心赠送给主持卡人的保险权益。投保人为卡中心、被保险人为订购“如意宝”增值服务产品且保险权益已生效的持卡人。承保公司为太平财产保险有限公司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2024年8月9日0:00之前的产品订单</w:t>
      </w:r>
      <w:r>
        <w:rPr>
          <w:rFonts w:hint="eastAsia" w:asciiTheme="minorEastAsia" w:hAnsiTheme="minorEastAsia"/>
          <w:b/>
          <w:bCs/>
          <w:lang w:eastAsia="zh-CN"/>
        </w:rPr>
        <w:t>）</w:t>
      </w:r>
      <w:r>
        <w:rPr>
          <w:rFonts w:hint="eastAsia" w:asciiTheme="minorEastAsia" w:hAnsiTheme="minorEastAsia"/>
          <w:b/>
          <w:bCs/>
          <w:lang w:val="en-US" w:eastAsia="zh-CN"/>
        </w:rPr>
        <w:t>及中国人民财产保险股份有限公司深圳市分公司（</w:t>
      </w:r>
      <w:r>
        <w:rPr>
          <w:rFonts w:hint="eastAsia" w:asciiTheme="minorEastAsia" w:hAnsiTheme="minorEastAsia" w:cstheme="minorBidi"/>
          <w:b/>
          <w:bCs/>
          <w:sz w:val="21"/>
          <w:szCs w:val="24"/>
          <w:lang w:val="en-US" w:eastAsia="zh-CN"/>
        </w:rPr>
        <w:t>2024年8月9日0:00之后的产品订单</w:t>
      </w:r>
      <w:r>
        <w:rPr>
          <w:rFonts w:hint="eastAsia" w:asciiTheme="minorEastAsia" w:hAnsiTheme="minorEastAsia"/>
          <w:b/>
          <w:bCs/>
          <w:lang w:val="en-US" w:eastAsia="zh-CN"/>
        </w:rPr>
        <w:t>）</w:t>
      </w:r>
      <w:r>
        <w:rPr>
          <w:rFonts w:hint="eastAsia" w:asciiTheme="minorEastAsia" w:hAnsiTheme="minorEastAsia"/>
          <w:b/>
          <w:bCs/>
        </w:rPr>
        <w:t>。该保险为团体保险，持卡人可致电太平财产保险有限公司客服热线95589</w:t>
      </w:r>
      <w:r>
        <w:rPr>
          <w:rFonts w:hint="eastAsia" w:asciiTheme="minorEastAsia" w:hAnsiTheme="minorEastAsia"/>
          <w:b/>
          <w:bCs/>
          <w:lang w:val="en-US" w:eastAsia="zh-CN"/>
        </w:rPr>
        <w:t>或中国人民财产保险股份有限公司深圳市分公司客服热线0755-95518</w:t>
      </w:r>
      <w:r>
        <w:rPr>
          <w:rFonts w:hint="eastAsia" w:asciiTheme="minorEastAsia" w:hAnsiTheme="minorEastAsia"/>
          <w:b/>
          <w:bCs/>
        </w:rPr>
        <w:t>查询或申请保险凭证。</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numPr>
          <w:ilvl w:val="0"/>
          <w:numId w:val="4"/>
        </w:num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保障金额</w:t>
      </w:r>
    </w:p>
    <w:p>
      <w:pPr>
        <w:numPr>
          <w:ilvl w:val="-1"/>
          <w:numId w:val="0"/>
        </w:numPr>
        <w:ind w:firstLine="420" w:firstLineChars="200"/>
        <w:jc w:val="left"/>
        <w:rPr>
          <w:rFonts w:hint="eastAsia" w:asciiTheme="minorEastAsia" w:hAnsiTheme="minorEastAsia"/>
          <w:b/>
          <w:bCs/>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3"/>
        <w:tblW w:w="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如意宝A</w:t>
            </w:r>
          </w:p>
        </w:tc>
        <w:tc>
          <w:tcPr>
            <w:tcW w:w="2715" w:type="dxa"/>
          </w:tcPr>
          <w:p>
            <w:pPr>
              <w:tabs>
                <w:tab w:val="left" w:pos="640"/>
              </w:tabs>
              <w:jc w:val="center"/>
              <w:rPr>
                <w:rFonts w:asciiTheme="minorEastAsia" w:hAnsiTheme="minorEastAsia"/>
              </w:rPr>
            </w:pPr>
            <w:r>
              <w:rPr>
                <w:rFonts w:hint="eastAsia" w:asciiTheme="minorEastAsia" w:hAnsiTheme="minorEastAsia"/>
              </w:rPr>
              <w:t>1万元</w:t>
            </w:r>
          </w:p>
        </w:tc>
      </w:tr>
    </w:tbl>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（2）保障责任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lang w:val="en-US" w:eastAsia="zh-CN"/>
        </w:rPr>
        <w:t>凡</w:t>
      </w:r>
      <w:r>
        <w:rPr>
          <w:rFonts w:hint="eastAsia" w:asciiTheme="minorEastAsia" w:hAnsiTheme="minorEastAsia"/>
        </w:rPr>
        <w:t>购买“如意宝A”优选增值服务产品的持卡人，</w:t>
      </w:r>
      <w:r>
        <w:rPr>
          <w:rFonts w:hint="eastAsia" w:ascii="宋体" w:hAnsi="宋体" w:cs="宋体"/>
          <w:szCs w:val="21"/>
          <w:highlight w:val="none"/>
        </w:rPr>
        <w:t>在保障权益生效后，</w:t>
      </w:r>
      <w:r>
        <w:rPr>
          <w:rFonts w:hint="eastAsia" w:asciiTheme="minorEastAsia" w:hAnsiTheme="minorEastAsia"/>
        </w:rPr>
        <w:t>如不幸发生意外时，入住二级及以上医院，可根据实际支付的医疗费用，最高获得1万元的意外入院医疗费用补偿（报销），无等待期，无论是否有社保均可承保，</w:t>
      </w:r>
      <w:r>
        <w:rPr>
          <w:rFonts w:hint="eastAsia" w:asciiTheme="minorEastAsia" w:hAnsiTheme="minorEastAsia"/>
          <w:lang w:val="en-US" w:eastAsia="zh-CN"/>
        </w:rPr>
        <w:t>但</w:t>
      </w:r>
      <w:r>
        <w:rPr>
          <w:rFonts w:hint="eastAsia" w:asciiTheme="minorEastAsia" w:hAnsiTheme="minorEastAsia"/>
        </w:rPr>
        <w:t>若持卡人有社保医疗保险</w:t>
      </w:r>
      <w:r>
        <w:rPr>
          <w:rFonts w:hint="eastAsia" w:asciiTheme="minorEastAsia" w:hAnsiTheme="minorEastAsia"/>
          <w:lang w:eastAsia="zh-CN"/>
        </w:rPr>
        <w:t>，</w:t>
      </w:r>
      <w:r>
        <w:rPr>
          <w:rFonts w:hint="eastAsia" w:asciiTheme="minorEastAsia" w:hAnsiTheme="minorEastAsia"/>
        </w:rPr>
        <w:t>发生住院医疗费用后，需先报销社保医疗费用后再申请赔付。</w:t>
      </w:r>
    </w:p>
    <w:p>
      <w:pPr>
        <w:tabs>
          <w:tab w:val="left" w:pos="640"/>
        </w:tabs>
        <w:ind w:left="420"/>
        <w:jc w:val="left"/>
        <w:rPr>
          <w:rFonts w:asciiTheme="minorEastAsia" w:hAnsiTheme="minorEastAsia"/>
          <w:b/>
          <w:bCs/>
        </w:rPr>
      </w:pPr>
      <w:r>
        <w:rPr>
          <w:rFonts w:hint="eastAsia" w:asciiTheme="minorEastAsia" w:hAnsiTheme="minorEastAsia"/>
          <w:b/>
          <w:bCs/>
        </w:rPr>
        <w:t>（3）保险条款</w:t>
      </w:r>
    </w:p>
    <w:p>
      <w:pPr>
        <w:tabs>
          <w:tab w:val="left" w:pos="640"/>
        </w:tabs>
        <w:ind w:firstLine="422" w:firstLineChars="200"/>
        <w:jc w:val="left"/>
        <w:rPr>
          <w:rFonts w:hint="eastAsia" w:asciiTheme="minorEastAsia" w:hAnsiTheme="minorEastAsia"/>
          <w:b/>
          <w:bCs/>
        </w:rPr>
      </w:pPr>
      <w:bookmarkStart w:id="2" w:name="_Hlk122350473"/>
      <w:r>
        <w:rPr>
          <w:rFonts w:hint="eastAsia" w:asciiTheme="minorEastAsia" w:hAnsiTheme="minorEastAsia" w:cstheme="minorBidi"/>
          <w:b/>
          <w:bCs/>
          <w:sz w:val="21"/>
          <w:szCs w:val="24"/>
          <w:lang w:val="en-US" w:eastAsia="zh-CN"/>
        </w:rPr>
        <w:t>2024年8月9日0:00之前的订单所适用的保险条款如下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《太平财产保险有限公司团体人身意外伤害保险（A版）条款》注册号【</w:t>
      </w:r>
      <w:r>
        <w:rPr>
          <w:rFonts w:asciiTheme="minorEastAsia" w:hAnsiTheme="minorEastAsia"/>
          <w:b/>
          <w:bCs/>
        </w:rPr>
        <w:t>C00002632312022051385521</w:t>
      </w:r>
      <w:r>
        <w:rPr>
          <w:rFonts w:hint="eastAsia" w:asciiTheme="minorEastAsia" w:hAnsiTheme="minorEastAsia"/>
          <w:b/>
          <w:bCs/>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《太平财产保险股份有限公司附加超龄人员扩展条款（2011版）（扩展）》注册号【</w:t>
      </w:r>
      <w:r>
        <w:rPr>
          <w:rFonts w:asciiTheme="minorEastAsia" w:hAnsiTheme="minorEastAsia"/>
          <w:b/>
          <w:bCs/>
        </w:rPr>
        <w:t>H00002632322017052347511</w:t>
      </w:r>
      <w:r>
        <w:rPr>
          <w:rFonts w:hint="eastAsia" w:asciiTheme="minorEastAsia" w:hAnsiTheme="minorEastAsia"/>
          <w:b/>
          <w:bCs/>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《太平财产保险股份有限公司附加意外伤害医疗保险（2019版）条款》注册号【</w:t>
      </w:r>
      <w:r>
        <w:rPr>
          <w:rFonts w:asciiTheme="minorEastAsia" w:hAnsiTheme="minorEastAsia"/>
          <w:b/>
          <w:bCs/>
        </w:rPr>
        <w:t>C00002632522019073105092</w:t>
      </w:r>
      <w:r>
        <w:rPr>
          <w:rFonts w:hint="eastAsia" w:asciiTheme="minorEastAsia" w:hAnsiTheme="minorEastAsia"/>
          <w:b/>
          <w:bCs/>
        </w:rPr>
        <w:t>】</w:t>
      </w:r>
    </w:p>
    <w:p>
      <w:pPr>
        <w:pStyle w:val="10"/>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2024年8月9日0:00之后的订单（含续费订单）所适用的保险条款如下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《中国人民财产保险股份有限公司附加意外伤害住院医疗保险条款》注册号【C00000232522020102113462】</w:t>
      </w:r>
    </w:p>
    <w:bookmarkEnd w:id="2"/>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4</w:t>
      </w:r>
      <w:r>
        <w:rPr>
          <w:rFonts w:hint="eastAsia" w:asciiTheme="minorEastAsia" w:hAnsiTheme="minorEastAsia"/>
          <w:b/>
          <w:bCs/>
        </w:rPr>
        <w:t>）责任免除条款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因下列原因直接或间接导致被保险人发生医疗费用支出的，保险公司不承担意外伤害医疗保险金给付责任：</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被保险人身患疾病所支付的费用；</w:t>
      </w:r>
    </w:p>
    <w:p>
      <w:pPr>
        <w:pStyle w:val="20"/>
        <w:numPr>
          <w:ilvl w:val="0"/>
          <w:numId w:val="5"/>
        </w:numPr>
        <w:ind w:left="425" w:leftChars="0" w:hanging="425" w:firstLineChars="0"/>
        <w:rPr>
          <w:rFonts w:hint="eastAsia" w:ascii="宋体" w:hAnsi="宋体"/>
          <w:b/>
          <w:bCs/>
        </w:rPr>
      </w:pPr>
      <w:r>
        <w:rPr>
          <w:rFonts w:hint="eastAsia" w:ascii="宋体" w:hAnsi="宋体"/>
          <w:b/>
          <w:bCs/>
        </w:rPr>
        <w:t>投保人的故意行为；</w:t>
      </w:r>
    </w:p>
    <w:p>
      <w:pPr>
        <w:pStyle w:val="20"/>
        <w:numPr>
          <w:ilvl w:val="0"/>
          <w:numId w:val="5"/>
        </w:numPr>
        <w:ind w:left="425" w:leftChars="0" w:hanging="425" w:firstLineChars="0"/>
        <w:rPr>
          <w:rFonts w:hint="eastAsia" w:ascii="宋体" w:hAnsi="宋体"/>
          <w:b/>
          <w:bCs/>
        </w:rPr>
      </w:pPr>
      <w:r>
        <w:rPr>
          <w:rFonts w:hint="eastAsia" w:ascii="宋体" w:hAnsi="宋体"/>
          <w:b/>
          <w:bCs/>
        </w:rPr>
        <w:t>因被保险人挑衅或故意行为而导致的打斗、被袭击或被谋杀；</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被保险人健康护理(含体检、健康体检、疗养、特别护理或静养) 等非治疗性的行为及无客观病征证明其不健康及以捐献身体器官为目的的医疗行为；</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被保险人妊娠、流产、堕胎、分娩、不孕症、避孕或绝育手术、变性手术、人体试验和人工生殖，及由此而引起的并发症；</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被保险人药物过敏、中暑，或未遵医嘱私自服用、涂用、注射药物；</w:t>
      </w:r>
    </w:p>
    <w:p>
      <w:pPr>
        <w:pStyle w:val="20"/>
        <w:numPr>
          <w:ilvl w:val="0"/>
          <w:numId w:val="5"/>
        </w:numPr>
        <w:ind w:left="425" w:leftChars="0" w:hanging="425" w:firstLineChars="0"/>
        <w:rPr>
          <w:rFonts w:hint="eastAsia" w:ascii="宋体" w:hAnsi="宋体"/>
          <w:b/>
          <w:bCs/>
        </w:rPr>
      </w:pPr>
      <w:r>
        <w:rPr>
          <w:rFonts w:hint="eastAsia" w:ascii="宋体" w:hAnsi="宋体"/>
          <w:b/>
          <w:bCs/>
        </w:rPr>
        <w:t>核爆炸、核辐射或核污染；</w:t>
      </w:r>
    </w:p>
    <w:p>
      <w:pPr>
        <w:pStyle w:val="20"/>
        <w:numPr>
          <w:ilvl w:val="0"/>
          <w:numId w:val="5"/>
        </w:numPr>
        <w:ind w:left="425" w:leftChars="0" w:hanging="425" w:firstLineChars="0"/>
        <w:rPr>
          <w:rFonts w:hint="eastAsia" w:ascii="宋体" w:hAnsi="宋体"/>
          <w:b/>
          <w:bCs/>
        </w:rPr>
      </w:pPr>
      <w:r>
        <w:rPr>
          <w:rFonts w:hint="eastAsia" w:ascii="宋体" w:hAnsi="宋体"/>
          <w:b/>
          <w:bCs/>
        </w:rPr>
        <w:t>恐怖袭击、战争军事行动、暴乱；</w:t>
      </w:r>
    </w:p>
    <w:p>
      <w:pPr>
        <w:pStyle w:val="20"/>
        <w:numPr>
          <w:ilvl w:val="0"/>
          <w:numId w:val="5"/>
        </w:numPr>
        <w:ind w:left="425" w:leftChars="0" w:hanging="425" w:firstLineChars="0"/>
        <w:rPr>
          <w:rFonts w:hint="eastAsia" w:ascii="宋体" w:hAnsi="宋体"/>
          <w:b/>
          <w:bCs/>
        </w:rPr>
      </w:pPr>
      <w:r>
        <w:rPr>
          <w:rFonts w:hint="eastAsia" w:ascii="宋体" w:hAnsi="宋体"/>
          <w:b/>
          <w:bCs/>
        </w:rPr>
        <w:t>被保险人犯罪或拒捕；</w:t>
      </w:r>
    </w:p>
    <w:p>
      <w:pPr>
        <w:pStyle w:val="20"/>
        <w:numPr>
          <w:ilvl w:val="0"/>
          <w:numId w:val="5"/>
        </w:numPr>
        <w:ind w:left="425" w:leftChars="0" w:hanging="425" w:firstLineChars="0"/>
        <w:rPr>
          <w:rFonts w:asciiTheme="minorEastAsia" w:hAnsiTheme="minorEastAsia"/>
          <w:bCs/>
        </w:rPr>
      </w:pPr>
      <w:r>
        <w:rPr>
          <w:rFonts w:hint="eastAsia" w:ascii="宋体" w:hAnsi="宋体"/>
          <w:b/>
          <w:bCs/>
        </w:rPr>
        <w:t>被保险人未取得对应的特种作业证书进行特种作业操作。特种作业的相关定义以国家安全生产监督管理总局发布的最新《特种作业人员安全技术培训考核管理办法》为准。</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被保险人在下列期间遭受意外伤害导致医疗费用支出的，保险</w:t>
      </w:r>
      <w:bookmarkStart w:id="3" w:name="_Hlk122353282"/>
      <w:r>
        <w:rPr>
          <w:rFonts w:hint="eastAsia" w:asciiTheme="minorEastAsia" w:hAnsiTheme="minorEastAsia"/>
          <w:b/>
          <w:bCs/>
        </w:rPr>
        <w:t>公司</w:t>
      </w:r>
      <w:bookmarkEnd w:id="3"/>
      <w:r>
        <w:rPr>
          <w:rFonts w:hint="eastAsia" w:asciiTheme="minorEastAsia" w:hAnsiTheme="minorEastAsia"/>
          <w:b/>
          <w:bCs/>
        </w:rPr>
        <w:t>不承担给付保险金责任：</w:t>
      </w:r>
    </w:p>
    <w:p>
      <w:pPr>
        <w:pStyle w:val="20"/>
        <w:numPr>
          <w:ilvl w:val="0"/>
          <w:numId w:val="6"/>
        </w:numPr>
        <w:ind w:left="425" w:hanging="425" w:firstLineChars="0"/>
        <w:rPr>
          <w:rFonts w:ascii="宋体" w:hAnsi="宋体"/>
          <w:b/>
          <w:bCs/>
        </w:rPr>
      </w:pPr>
      <w:r>
        <w:rPr>
          <w:rFonts w:hint="eastAsia" w:ascii="宋体" w:hAnsi="宋体"/>
          <w:b/>
          <w:bCs/>
        </w:rPr>
        <w:t>战争、军事行动、暴动或武装叛乱期间；</w:t>
      </w:r>
    </w:p>
    <w:p>
      <w:pPr>
        <w:pStyle w:val="20"/>
        <w:numPr>
          <w:ilvl w:val="0"/>
          <w:numId w:val="6"/>
        </w:numPr>
        <w:ind w:left="425" w:hanging="425" w:firstLineChars="0"/>
        <w:rPr>
          <w:rFonts w:ascii="宋体" w:hAnsi="宋体"/>
          <w:b/>
          <w:bCs/>
        </w:rPr>
      </w:pPr>
      <w:r>
        <w:rPr>
          <w:rFonts w:hint="eastAsia" w:ascii="宋体" w:hAnsi="宋体"/>
          <w:b/>
          <w:bCs/>
        </w:rPr>
        <w:t>被保险人醉酒或毒品、管制药物的影响期间；</w:t>
      </w:r>
    </w:p>
    <w:p>
      <w:pPr>
        <w:pStyle w:val="20"/>
        <w:numPr>
          <w:ilvl w:val="0"/>
          <w:numId w:val="6"/>
        </w:numPr>
        <w:ind w:left="425" w:hanging="425" w:firstLineChars="0"/>
        <w:rPr>
          <w:rFonts w:ascii="宋体" w:hAnsi="宋体"/>
          <w:b/>
          <w:bCs/>
        </w:rPr>
      </w:pPr>
      <w:r>
        <w:rPr>
          <w:rFonts w:hint="eastAsia" w:ascii="宋体" w:hAnsi="宋体"/>
          <w:b/>
          <w:bCs/>
        </w:rPr>
        <w:t>被保险人酒后驾车、无有效行驶证驾驶或驾驶无有效行驶证的机动车期间。</w:t>
      </w:r>
    </w:p>
    <w:p>
      <w:pPr>
        <w:numPr>
          <w:ilvl w:val="-1"/>
          <w:numId w:val="0"/>
        </w:numPr>
        <w:tabs>
          <w:tab w:val="left" w:pos="312"/>
          <w:tab w:val="left" w:pos="640"/>
        </w:tabs>
        <w:ind w:left="0" w:firstLine="422" w:firstLineChars="200"/>
        <w:jc w:val="left"/>
        <w:rPr>
          <w:rFonts w:asciiTheme="minorEastAsia" w:hAnsiTheme="minorEastAsia"/>
          <w:b/>
          <w:bCs/>
        </w:rPr>
      </w:pPr>
      <w:r>
        <w:rPr>
          <w:rFonts w:hint="eastAsia" w:asciiTheme="minorEastAsia" w:hAnsiTheme="minorEastAsia"/>
          <w:b/>
          <w:bCs/>
        </w:rPr>
        <w:t>下列费用，保险公司不负给付保险金责任：</w:t>
      </w:r>
    </w:p>
    <w:p>
      <w:pPr>
        <w:pStyle w:val="20"/>
        <w:numPr>
          <w:ilvl w:val="0"/>
          <w:numId w:val="7"/>
        </w:numPr>
        <w:ind w:left="425" w:hanging="425" w:firstLineChars="0"/>
        <w:rPr>
          <w:rFonts w:ascii="宋体" w:hAnsi="宋体"/>
          <w:b/>
          <w:bCs/>
        </w:rPr>
      </w:pPr>
      <w:r>
        <w:rPr>
          <w:rFonts w:hint="eastAsia" w:ascii="宋体" w:hAnsi="宋体"/>
          <w:b/>
          <w:bCs/>
        </w:rPr>
        <w:t>保险单签发地社会医疗保险或其他公费医疗管理部门规定的自费项目和药品费用；</w:t>
      </w:r>
    </w:p>
    <w:p>
      <w:pPr>
        <w:pStyle w:val="20"/>
        <w:numPr>
          <w:ilvl w:val="0"/>
          <w:numId w:val="7"/>
        </w:numPr>
        <w:ind w:left="425" w:hanging="425" w:firstLineChars="0"/>
        <w:rPr>
          <w:rFonts w:ascii="宋体" w:hAnsi="宋体"/>
          <w:b/>
          <w:bCs/>
        </w:rPr>
      </w:pPr>
      <w:r>
        <w:rPr>
          <w:rFonts w:hint="eastAsia" w:ascii="宋体" w:hAnsi="宋体"/>
          <w:b/>
          <w:bCs/>
        </w:rPr>
        <w:t>因椎间盘膨出或突出造成被保险人支持的医疗费用；</w:t>
      </w:r>
    </w:p>
    <w:p>
      <w:pPr>
        <w:pStyle w:val="20"/>
        <w:numPr>
          <w:ilvl w:val="0"/>
          <w:numId w:val="7"/>
        </w:numPr>
        <w:ind w:left="425" w:hanging="425" w:firstLineChars="0"/>
        <w:rPr>
          <w:rFonts w:ascii="宋体" w:hAnsi="宋体"/>
          <w:b/>
          <w:bCs/>
        </w:rPr>
      </w:pPr>
      <w:r>
        <w:rPr>
          <w:rFonts w:hint="eastAsia" w:ascii="宋体" w:hAnsi="宋体"/>
          <w:b/>
          <w:bCs/>
        </w:rPr>
        <w:t xml:space="preserve">被保险人发生的护理（陪住）费、取暖费、交通费、误工费、空调费、膳食费、特需服务费、营养性药品、营养费、康复费、辅助器具费、整容费、美容费、修复手术费、牙齿整形费、牙齿修复费、镶牙费、丧葬费； </w:t>
      </w:r>
    </w:p>
    <w:p>
      <w:pPr>
        <w:pStyle w:val="20"/>
        <w:numPr>
          <w:ilvl w:val="0"/>
          <w:numId w:val="7"/>
        </w:numPr>
        <w:ind w:left="425" w:hanging="425" w:firstLineChars="0"/>
        <w:rPr>
          <w:rFonts w:ascii="宋体" w:hAnsi="宋体"/>
          <w:b/>
          <w:bCs/>
        </w:rPr>
      </w:pPr>
      <w:r>
        <w:rPr>
          <w:rFonts w:hint="eastAsia" w:ascii="宋体" w:hAnsi="宋体"/>
          <w:b/>
          <w:bCs/>
        </w:rPr>
        <w:t>用于矫形、整容、美容、心理咨询、器官移植、角膜屈光成形手术或修复、安装及购买残疾用具（如轮椅、假肢、助听器、假眼、假牙、配镜等）的费用；</w:t>
      </w:r>
    </w:p>
    <w:p>
      <w:pPr>
        <w:pStyle w:val="20"/>
        <w:numPr>
          <w:ilvl w:val="0"/>
          <w:numId w:val="7"/>
        </w:numPr>
        <w:ind w:left="425" w:hanging="425" w:firstLineChars="0"/>
        <w:rPr>
          <w:rFonts w:asciiTheme="minorEastAsia" w:hAnsiTheme="minorEastAsia"/>
          <w:b/>
          <w:bCs/>
        </w:rPr>
      </w:pPr>
      <w:r>
        <w:rPr>
          <w:rFonts w:hint="eastAsia" w:asciiTheme="minorEastAsia" w:hAnsiTheme="minorEastAsia"/>
          <w:b/>
          <w:bCs/>
        </w:rPr>
        <w:t>被保险人在家自设病床治疗；</w:t>
      </w:r>
    </w:p>
    <w:p>
      <w:pPr>
        <w:pStyle w:val="20"/>
        <w:numPr>
          <w:ilvl w:val="0"/>
          <w:numId w:val="7"/>
        </w:numPr>
        <w:ind w:left="425" w:hanging="425" w:firstLineChars="0"/>
        <w:rPr>
          <w:rFonts w:asciiTheme="minorEastAsia" w:hAnsiTheme="minorEastAsia"/>
          <w:bCs/>
        </w:rPr>
      </w:pPr>
      <w:r>
        <w:rPr>
          <w:rFonts w:hint="eastAsia" w:asciiTheme="minorEastAsia" w:hAnsiTheme="minorEastAsia"/>
          <w:b/>
          <w:bCs/>
        </w:rPr>
        <w:t>被保险人在非认可的医疗机构治疗发生的医疗费用或保险单签发地社会医疗保险主管部门规定的自费项目</w:t>
      </w:r>
      <w:r>
        <w:rPr>
          <w:rFonts w:hint="eastAsia" w:asciiTheme="minorEastAsia" w:hAnsiTheme="minorEastAsia"/>
          <w:bCs/>
          <w:lang w:eastAsia="zh-CN"/>
        </w:rPr>
        <w:t>。</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5"/>
        <w:tabs>
          <w:tab w:val="left" w:pos="1276"/>
          <w:tab w:val="clear" w:pos="1050"/>
        </w:tabs>
        <w:ind w:left="976" w:leftChars="195" w:hanging="567" w:hangingChars="269"/>
        <w:jc w:val="left"/>
        <w:rPr>
          <w:b w:val="0"/>
        </w:rPr>
      </w:pPr>
      <w:r>
        <w:rPr>
          <w:rFonts w:hint="eastAsia"/>
        </w:rPr>
        <w:t>因下列情形之一，导致被保险人支出医疗</w:t>
      </w:r>
      <w:r>
        <w:t>费用</w:t>
      </w:r>
      <w:r>
        <w:rPr>
          <w:rFonts w:hint="eastAsia"/>
        </w:rPr>
        <w:t>的，保险</w:t>
      </w:r>
      <w:r>
        <w:rPr>
          <w:rFonts w:hint="eastAsia"/>
          <w:lang w:val="en-US" w:eastAsia="zh-CN"/>
        </w:rPr>
        <w:t>公司</w:t>
      </w:r>
      <w:r>
        <w:rPr>
          <w:rFonts w:hint="eastAsia"/>
        </w:rPr>
        <w:t>不承担给付保险金责任：</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rPr>
        <w:t>投保人对被保险人的故意杀害、故意伤害</w:t>
      </w:r>
      <w:r>
        <w:rPr>
          <w:rFonts w:hint="eastAsia" w:asciiTheme="minorEastAsia" w:hAnsiTheme="minorEastAsia" w:eastAsiaTheme="minorEastAsia"/>
          <w:b/>
          <w:szCs w:val="21"/>
        </w:rPr>
        <w:t>；</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被保险人故意自伤或自杀，但被保险人自杀时为无民事行为能力人的除外；</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被保险人因挑衅或故意行为而导致的打斗、被袭击或被谋杀；</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被保险人妊娠、流产、分娩；</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被保险人接受包括美容、整容、整形手术在内的任何医疗行为而造成的意外；</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被保险人未遵医嘱服用、涂用、注射药物，但按使用说明的规定使用非处方药不在此限；</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被保险人受酒精、毒品、管制药物的影响，但遵医嘱使用药物的情形不在此限；</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任何生物、化学、原子能武器，原子能或核能装置所造成的爆炸、灼伤、污染或辐射；</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战争、军事冲突、暴乱或武装叛乱、恐怖袭击；</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被保险人故意犯罪或抗拒依法采取的刑事强制措施；</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被保险人存在精神和行为障碍（以世界卫生组织颁布的《疾病和有关健康问题的国际统计分类（ICD-10）》为准）；</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w:t>
      </w:r>
      <w:r>
        <w:rPr>
          <w:rFonts w:hint="eastAsia" w:asciiTheme="minorEastAsia" w:hAnsiTheme="minorEastAsia" w:eastAsiaTheme="minorEastAsia"/>
          <w:b/>
        </w:rPr>
        <w:t>感染艾滋病病毒或患艾滋病；</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被保险人从事</w:t>
      </w:r>
      <w:r>
        <w:rPr>
          <w:rStyle w:val="16"/>
          <w:rFonts w:hint="eastAsia" w:asciiTheme="minorEastAsia" w:hAnsiTheme="minorEastAsia" w:eastAsiaTheme="minorEastAsia"/>
          <w:b/>
          <w:color w:val="auto"/>
          <w:szCs w:val="21"/>
          <w:u w:val="none"/>
        </w:rPr>
        <w:t>高风险运动</w:t>
      </w:r>
      <w:r>
        <w:rPr>
          <w:rFonts w:hint="eastAsia" w:asciiTheme="minorEastAsia" w:hAnsiTheme="minorEastAsia" w:eastAsiaTheme="minorEastAsia"/>
          <w:b/>
          <w:szCs w:val="21"/>
        </w:rPr>
        <w:t>，但被保险人作为专业运动员从事其专业运动不在此限；</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w:t>
      </w:r>
      <w:r>
        <w:rPr>
          <w:rStyle w:val="16"/>
          <w:rFonts w:hint="eastAsia" w:asciiTheme="minorEastAsia" w:hAnsiTheme="minorEastAsia" w:eastAsiaTheme="minorEastAsia"/>
          <w:b/>
          <w:color w:val="auto"/>
          <w:szCs w:val="21"/>
          <w:u w:val="none"/>
        </w:rPr>
        <w:t>酒后驾驶</w:t>
      </w:r>
      <w:r>
        <w:rPr>
          <w:rFonts w:hint="eastAsia" w:asciiTheme="minorEastAsia" w:hAnsiTheme="minorEastAsia" w:eastAsiaTheme="minorEastAsia"/>
          <w:b/>
          <w:szCs w:val="21"/>
        </w:rPr>
        <w:t>、</w:t>
      </w:r>
      <w:r>
        <w:rPr>
          <w:rStyle w:val="16"/>
          <w:rFonts w:hint="eastAsia" w:asciiTheme="minorEastAsia" w:hAnsiTheme="minorEastAsia" w:eastAsiaTheme="minorEastAsia"/>
          <w:b/>
          <w:color w:val="auto"/>
          <w:szCs w:val="21"/>
          <w:u w:val="none"/>
        </w:rPr>
        <w:t>无有效驾驶证</w:t>
      </w:r>
      <w:r>
        <w:rPr>
          <w:rFonts w:hint="eastAsia" w:asciiTheme="minorEastAsia" w:hAnsiTheme="minorEastAsia" w:eastAsiaTheme="minorEastAsia"/>
          <w:b/>
          <w:szCs w:val="21"/>
        </w:rPr>
        <w:t>驾驶或驾驶</w:t>
      </w:r>
      <w:r>
        <w:rPr>
          <w:rStyle w:val="16"/>
          <w:rFonts w:hint="eastAsia" w:asciiTheme="minorEastAsia" w:hAnsiTheme="minorEastAsia" w:eastAsiaTheme="minorEastAsia"/>
          <w:b/>
          <w:color w:val="auto"/>
          <w:szCs w:val="21"/>
          <w:u w:val="none"/>
        </w:rPr>
        <w:t>无有效行驶证</w:t>
      </w:r>
      <w:r>
        <w:rPr>
          <w:rFonts w:hint="eastAsia" w:asciiTheme="minorEastAsia" w:hAnsiTheme="minorEastAsia" w:eastAsiaTheme="minorEastAsia"/>
          <w:b/>
          <w:szCs w:val="21"/>
        </w:rPr>
        <w:t>的机动交通工具；</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疾病，包括但不限于高原反应、中暑、</w:t>
      </w:r>
      <w:r>
        <w:rPr>
          <w:rStyle w:val="16"/>
          <w:rFonts w:hint="eastAsia" w:asciiTheme="minorEastAsia" w:hAnsiTheme="minorEastAsia" w:eastAsiaTheme="minorEastAsia"/>
          <w:b/>
          <w:color w:val="auto"/>
          <w:szCs w:val="21"/>
          <w:u w:val="none"/>
        </w:rPr>
        <w:t>猝死</w:t>
      </w:r>
      <w:r>
        <w:rPr>
          <w:rFonts w:hint="eastAsia" w:asciiTheme="minorEastAsia" w:hAnsiTheme="minorEastAsia" w:eastAsiaTheme="minorEastAsia"/>
          <w:b/>
          <w:szCs w:val="21"/>
        </w:rPr>
        <w:t>；</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非因意外伤害导致的细菌、病毒或其他病原体感染；</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过敏及由过敏引发的变态反应性疾病；</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被保险人非因意外伤害而进行的整容、整形手术，以及因任何原因进行的美容；</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szCs w:val="21"/>
        </w:rPr>
        <w:t>被保险人</w:t>
      </w:r>
      <w:r>
        <w:rPr>
          <w:rFonts w:hint="eastAsia" w:asciiTheme="minorEastAsia" w:hAnsiTheme="minorEastAsia" w:eastAsiaTheme="minorEastAsia"/>
          <w:b/>
          <w:bCs/>
        </w:rPr>
        <w:t>进行一般身体检查、疗养、特别护理、静养、康复性治疗、物理治疗、心理治疗或预防性治疗；</w:t>
      </w:r>
    </w:p>
    <w:p>
      <w:pPr>
        <w:pStyle w:val="24"/>
        <w:numPr>
          <w:ilvl w:val="0"/>
          <w:numId w:val="8"/>
        </w:numPr>
        <w:ind w:left="425" w:leftChars="0" w:hanging="425" w:firstLineChars="0"/>
        <w:rPr>
          <w:rFonts w:asciiTheme="minorEastAsia" w:hAnsiTheme="minorEastAsia" w:eastAsiaTheme="minorEastAsia"/>
          <w:b/>
          <w:szCs w:val="21"/>
        </w:rPr>
      </w:pPr>
      <w:r>
        <w:rPr>
          <w:rFonts w:hint="eastAsia" w:ascii="宋体" w:hAnsi="宋体"/>
          <w:b/>
          <w:szCs w:val="21"/>
        </w:rPr>
        <w:t>被保险人在获得被保资格前已有残疾的治疗和康复</w:t>
      </w:r>
      <w:r>
        <w:rPr>
          <w:rFonts w:hint="eastAsia" w:asciiTheme="minorEastAsia" w:hAnsiTheme="minorEastAsia" w:eastAsiaTheme="minorEastAsia"/>
          <w:b/>
          <w:szCs w:val="21"/>
        </w:rPr>
        <w:t>；</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bCs/>
        </w:rPr>
        <w:t>被保险人在家</w:t>
      </w:r>
      <w:r>
        <w:rPr>
          <w:rFonts w:asciiTheme="minorEastAsia" w:hAnsiTheme="minorEastAsia" w:eastAsiaTheme="minorEastAsia"/>
          <w:b/>
          <w:bCs/>
        </w:rPr>
        <w:t>自设病床</w:t>
      </w:r>
      <w:r>
        <w:rPr>
          <w:rFonts w:hint="eastAsia" w:asciiTheme="minorEastAsia" w:hAnsiTheme="minorEastAsia" w:eastAsiaTheme="minorEastAsia"/>
          <w:b/>
          <w:bCs/>
        </w:rPr>
        <w:t>治疗，</w:t>
      </w:r>
      <w:r>
        <w:rPr>
          <w:rFonts w:ascii="宋体" w:hAnsi="宋体"/>
          <w:b/>
          <w:bCs/>
        </w:rPr>
        <w:t>或在</w:t>
      </w:r>
      <w:r>
        <w:rPr>
          <w:rFonts w:hint="eastAsia" w:asciiTheme="minorEastAsia" w:hAnsiTheme="minorEastAsia" w:eastAsiaTheme="minorEastAsia"/>
          <w:b/>
          <w:szCs w:val="21"/>
        </w:rPr>
        <w:t>门诊观察室、急诊观察室、其他非正式病房、联合病房的</w:t>
      </w:r>
      <w:r>
        <w:rPr>
          <w:rFonts w:asciiTheme="minorEastAsia" w:hAnsiTheme="minorEastAsia" w:eastAsiaTheme="minorEastAsia"/>
          <w:b/>
          <w:szCs w:val="21"/>
        </w:rPr>
        <w:t>治疗</w:t>
      </w:r>
      <w:r>
        <w:rPr>
          <w:rFonts w:asciiTheme="minorEastAsia" w:hAnsiTheme="minorEastAsia" w:eastAsiaTheme="minorEastAsia"/>
          <w:b/>
          <w:bCs/>
        </w:rPr>
        <w:t>；</w:t>
      </w:r>
    </w:p>
    <w:p>
      <w:pPr>
        <w:pStyle w:val="24"/>
        <w:numPr>
          <w:ilvl w:val="0"/>
          <w:numId w:val="8"/>
        </w:numPr>
        <w:ind w:left="425" w:leftChars="0" w:hanging="425" w:firstLineChars="0"/>
        <w:rPr>
          <w:rFonts w:asciiTheme="minorEastAsia" w:hAnsiTheme="minorEastAsia" w:eastAsiaTheme="minorEastAsia"/>
          <w:b/>
          <w:szCs w:val="21"/>
        </w:rPr>
      </w:pPr>
      <w:r>
        <w:rPr>
          <w:rFonts w:hint="eastAsia" w:asciiTheme="minorEastAsia" w:hAnsiTheme="minorEastAsia" w:eastAsiaTheme="minorEastAsia"/>
          <w:b/>
          <w:bCs/>
        </w:rPr>
        <w:t>被保险人不符合入院标准住院、挂床住院或应当出院但拒不出院而造成</w:t>
      </w:r>
      <w:r>
        <w:rPr>
          <w:rFonts w:asciiTheme="minorEastAsia" w:hAnsiTheme="minorEastAsia" w:eastAsiaTheme="minorEastAsia"/>
          <w:b/>
          <w:bCs/>
        </w:rPr>
        <w:t>的</w:t>
      </w:r>
      <w:r>
        <w:rPr>
          <w:rFonts w:hint="eastAsia" w:asciiTheme="minorEastAsia" w:hAnsiTheme="minorEastAsia" w:eastAsiaTheme="minorEastAsia"/>
          <w:b/>
          <w:bCs/>
        </w:rPr>
        <w:t>延长</w:t>
      </w:r>
      <w:r>
        <w:rPr>
          <w:rFonts w:asciiTheme="minorEastAsia" w:hAnsiTheme="minorEastAsia" w:eastAsiaTheme="minorEastAsia"/>
          <w:b/>
          <w:bCs/>
        </w:rPr>
        <w:t>住院</w:t>
      </w:r>
      <w:r>
        <w:rPr>
          <w:rFonts w:hint="eastAsia" w:asciiTheme="minorEastAsia" w:hAnsiTheme="minorEastAsia" w:eastAsiaTheme="minorEastAsia"/>
          <w:b/>
          <w:bCs/>
        </w:rPr>
        <w:t>。</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5</w:t>
      </w:r>
      <w:r>
        <w:rPr>
          <w:rFonts w:hint="eastAsia" w:asciiTheme="minorEastAsia" w:hAnsiTheme="minorEastAsia"/>
          <w:b/>
          <w:bCs/>
        </w:rPr>
        <w:t>）理赔流程</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或中国人民财产保险股份有限公司深圳市分公司客服热线0755-95518</w:t>
      </w:r>
      <w:r>
        <w:rPr>
          <w:rFonts w:hint="eastAsia" w:asciiTheme="minorEastAsia" w:hAnsiTheme="minorEastAsia"/>
        </w:rPr>
        <w:t>；</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rPr>
        <w:t>理赔材料通过邮寄方式提交；</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lang w:val="en-US" w:eastAsia="zh-CN"/>
        </w:rPr>
        <w:t>判断</w:t>
      </w:r>
      <w:r>
        <w:rPr>
          <w:rFonts w:hint="eastAsia" w:asciiTheme="minorEastAsia" w:hAnsiTheme="minorEastAsia"/>
        </w:rPr>
        <w:t>确属保险责任范围，在结案后10个工作日内</w:t>
      </w:r>
      <w:r>
        <w:rPr>
          <w:rFonts w:hint="eastAsia" w:asciiTheme="minorEastAsia" w:hAnsiTheme="minorEastAsia"/>
          <w:lang w:val="en-US" w:eastAsia="zh-CN"/>
        </w:rPr>
        <w:t>理赔</w:t>
      </w:r>
      <w:r>
        <w:rPr>
          <w:rFonts w:hint="eastAsia" w:asciiTheme="minorEastAsia" w:hAnsiTheme="minorEastAsia"/>
        </w:rPr>
        <w:t>；</w:t>
      </w:r>
    </w:p>
    <w:p>
      <w:pPr>
        <w:numPr>
          <w:ilvl w:val="0"/>
          <w:numId w:val="9"/>
        </w:numPr>
        <w:tabs>
          <w:tab w:val="left" w:pos="312"/>
          <w:tab w:val="left" w:pos="640"/>
        </w:tabs>
        <w:ind w:firstLine="420" w:firstLineChars="200"/>
        <w:jc w:val="left"/>
        <w:rPr>
          <w:rFonts w:asciiTheme="minorEastAsia" w:hAnsiTheme="minorEastAsia"/>
        </w:rPr>
      </w:pPr>
      <w:r>
        <w:rPr>
          <w:rFonts w:hint="eastAsia" w:asciiTheme="minorEastAsia" w:hAnsiTheme="minorEastAsia"/>
        </w:rPr>
        <w:t>理赔资金将支付至被保险人账户。</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6</w:t>
      </w:r>
      <w:r>
        <w:rPr>
          <w:rFonts w:hint="eastAsia" w:asciiTheme="minorEastAsia" w:hAnsiTheme="minorEastAsia"/>
          <w:b/>
          <w:bCs/>
        </w:rPr>
        <w:t>）理赔资料</w:t>
      </w:r>
    </w:p>
    <w:p>
      <w:pPr>
        <w:ind w:firstLine="420" w:firstLineChars="200"/>
        <w:rPr>
          <w:rFonts w:asciiTheme="minorEastAsia" w:hAnsiTheme="minorEastAsia"/>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p>
    <w:p>
      <w:pPr>
        <w:pStyle w:val="20"/>
        <w:numPr>
          <w:ilvl w:val="-1"/>
          <w:numId w:val="0"/>
        </w:numPr>
        <w:tabs>
          <w:tab w:val="left" w:pos="312"/>
          <w:tab w:val="left" w:pos="640"/>
        </w:tabs>
        <w:ind w:left="420" w:firstLine="0" w:firstLineChars="0"/>
        <w:jc w:val="left"/>
        <w:rPr>
          <w:rFonts w:asciiTheme="minorEastAsia" w:hAnsiTheme="minorEastAsia"/>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24"/>
        <w:numPr>
          <w:ilvl w:val="0"/>
          <w:numId w:val="10"/>
        </w:numPr>
        <w:ind w:left="840" w:leftChars="0" w:hanging="420" w:firstLineChars="0"/>
        <w:rPr>
          <w:rFonts w:hint="eastAsia" w:ascii="宋体" w:hAnsi="宋体"/>
          <w:szCs w:val="21"/>
        </w:rPr>
      </w:pPr>
      <w:r>
        <w:rPr>
          <w:rFonts w:hint="eastAsia" w:ascii="宋体" w:hAnsi="宋体"/>
          <w:szCs w:val="21"/>
        </w:rPr>
        <w:t>索赔申请书；</w:t>
      </w:r>
    </w:p>
    <w:p>
      <w:pPr>
        <w:pStyle w:val="24"/>
        <w:numPr>
          <w:ilvl w:val="0"/>
          <w:numId w:val="10"/>
        </w:numPr>
        <w:ind w:left="840" w:leftChars="0" w:hanging="420" w:firstLineChars="0"/>
        <w:rPr>
          <w:rFonts w:hint="eastAsia" w:ascii="宋体" w:hAnsi="宋体"/>
          <w:szCs w:val="21"/>
        </w:rPr>
      </w:pPr>
      <w:r>
        <w:rPr>
          <w:rFonts w:hint="eastAsia" w:ascii="宋体" w:hAnsi="宋体"/>
          <w:szCs w:val="21"/>
        </w:rPr>
        <w:t>保险单或其他保险凭证正本；</w:t>
      </w:r>
    </w:p>
    <w:p>
      <w:pPr>
        <w:pStyle w:val="24"/>
        <w:numPr>
          <w:ilvl w:val="0"/>
          <w:numId w:val="10"/>
        </w:numPr>
        <w:ind w:left="840" w:leftChars="0" w:hanging="420" w:firstLineChars="0"/>
        <w:rPr>
          <w:rFonts w:hint="eastAsia" w:ascii="宋体" w:hAnsi="宋体"/>
          <w:szCs w:val="21"/>
        </w:rPr>
      </w:pPr>
      <w:r>
        <w:rPr>
          <w:rFonts w:hint="eastAsia" w:ascii="宋体" w:hAnsi="宋体"/>
          <w:szCs w:val="21"/>
        </w:rPr>
        <w:t>被保险人身份证明；</w:t>
      </w:r>
      <w:r>
        <w:rPr>
          <w:rFonts w:hint="eastAsia" w:ascii="宋体" w:hAnsi="宋体"/>
          <w:szCs w:val="21"/>
        </w:rPr>
        <w:tab/>
      </w:r>
    </w:p>
    <w:p>
      <w:pPr>
        <w:pStyle w:val="24"/>
        <w:numPr>
          <w:ilvl w:val="0"/>
          <w:numId w:val="10"/>
        </w:numPr>
        <w:ind w:left="840" w:leftChars="0" w:hanging="420" w:firstLineChars="0"/>
        <w:rPr>
          <w:rFonts w:hint="eastAsia" w:ascii="宋体" w:hAnsi="宋体"/>
          <w:szCs w:val="21"/>
        </w:rPr>
      </w:pPr>
      <w:r>
        <w:rPr>
          <w:rFonts w:hint="eastAsia" w:ascii="宋体" w:hAnsi="宋体"/>
          <w:szCs w:val="21"/>
        </w:rPr>
        <w:t>认可的医疗机构出具的附有病理检查、化验检查及其他医疗仪器检查报告的医疗诊断证明、病历及医疗、医药费原始单据、结算明细表与处方正本；</w:t>
      </w:r>
    </w:p>
    <w:p>
      <w:pPr>
        <w:pStyle w:val="24"/>
        <w:numPr>
          <w:ilvl w:val="0"/>
          <w:numId w:val="10"/>
        </w:numPr>
        <w:ind w:left="840" w:leftChars="0" w:hanging="420" w:firstLineChars="0"/>
        <w:rPr>
          <w:rFonts w:hint="eastAsia" w:ascii="宋体" w:hAnsi="宋体"/>
          <w:szCs w:val="21"/>
        </w:rPr>
      </w:pPr>
      <w:r>
        <w:rPr>
          <w:rFonts w:hint="eastAsia" w:ascii="宋体" w:hAnsi="宋体"/>
          <w:szCs w:val="21"/>
          <w:lang w:val="en-US" w:eastAsia="zh-CN"/>
        </w:rPr>
        <w:t>被保险</w:t>
      </w:r>
      <w:r>
        <w:rPr>
          <w:rFonts w:hint="eastAsia" w:ascii="宋体" w:hAnsi="宋体"/>
          <w:szCs w:val="21"/>
        </w:rPr>
        <w:t>人所能提供的与确认保险事故的性质、原因、损失程度等有关的其他证明和资料</w:t>
      </w:r>
      <w:r>
        <w:rPr>
          <w:rFonts w:hint="eastAsia" w:ascii="宋体" w:hAnsi="宋体"/>
          <w:szCs w:val="21"/>
          <w:lang w:eastAsia="zh-CN"/>
        </w:rPr>
        <w:t>；</w:t>
      </w:r>
    </w:p>
    <w:p>
      <w:pPr>
        <w:pStyle w:val="24"/>
        <w:numPr>
          <w:ilvl w:val="0"/>
          <w:numId w:val="10"/>
        </w:numPr>
        <w:ind w:left="840" w:leftChars="0" w:hanging="420" w:firstLineChars="0"/>
        <w:rPr>
          <w:rFonts w:hint="eastAsia" w:ascii="宋体" w:hAnsi="宋体"/>
          <w:szCs w:val="21"/>
        </w:rPr>
      </w:pPr>
      <w:r>
        <w:rPr>
          <w:rFonts w:hint="eastAsia" w:asciiTheme="minorEastAsia" w:hAnsiTheme="minorEastAsia"/>
        </w:rPr>
        <w:t>卡中心或保险公司认为必要的其他相关资料</w:t>
      </w:r>
      <w:r>
        <w:rPr>
          <w:rFonts w:hint="eastAsia" w:ascii="宋体" w:hAnsi="宋体"/>
          <w:szCs w:val="21"/>
        </w:rPr>
        <w:t>。</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numPr>
          <w:ilvl w:val="0"/>
          <w:numId w:val="11"/>
        </w:numPr>
        <w:ind w:left="840" w:leftChars="0" w:hanging="420" w:firstLineChars="0"/>
        <w:rPr>
          <w:rFonts w:ascii="宋体" w:hAnsi="宋体"/>
          <w:szCs w:val="21"/>
        </w:rPr>
      </w:pPr>
      <w:r>
        <w:rPr>
          <w:rFonts w:hint="eastAsia" w:ascii="宋体" w:hAnsi="宋体"/>
          <w:szCs w:val="21"/>
        </w:rPr>
        <w:t>保险金给付申请书；</w:t>
      </w:r>
    </w:p>
    <w:p>
      <w:pPr>
        <w:pStyle w:val="24"/>
        <w:numPr>
          <w:ilvl w:val="0"/>
          <w:numId w:val="11"/>
        </w:numPr>
        <w:ind w:left="840" w:leftChars="0" w:hanging="420" w:firstLineChars="0"/>
        <w:rPr>
          <w:rFonts w:ascii="宋体" w:hAnsi="宋体"/>
          <w:szCs w:val="21"/>
        </w:rPr>
      </w:pPr>
      <w:r>
        <w:rPr>
          <w:rFonts w:hint="eastAsia" w:ascii="宋体" w:hAnsi="宋体"/>
          <w:szCs w:val="21"/>
        </w:rPr>
        <w:t>保险金申请人、被保险人身份证明；</w:t>
      </w:r>
    </w:p>
    <w:p>
      <w:pPr>
        <w:pStyle w:val="24"/>
        <w:numPr>
          <w:ilvl w:val="0"/>
          <w:numId w:val="11"/>
        </w:numPr>
        <w:ind w:left="840" w:leftChars="0" w:hanging="420" w:firstLineChars="0"/>
        <w:rPr>
          <w:rFonts w:ascii="宋体" w:hAnsi="宋体"/>
          <w:szCs w:val="21"/>
        </w:rPr>
      </w:pPr>
      <w:r>
        <w:rPr>
          <w:rFonts w:hint="eastAsia" w:ascii="宋体" w:hAnsi="宋体"/>
          <w:szCs w:val="21"/>
        </w:rPr>
        <w:t>指定医疗机构出具的医疗费用发票/收据、费用明细清单/帐、病历、</w:t>
      </w:r>
      <w:r>
        <w:rPr>
          <w:rFonts w:hint="eastAsia" w:asciiTheme="majorEastAsia" w:hAnsiTheme="majorEastAsia" w:eastAsiaTheme="majorEastAsia"/>
          <w:szCs w:val="21"/>
        </w:rPr>
        <w:t>出院小结</w:t>
      </w:r>
      <w:r>
        <w:rPr>
          <w:rFonts w:hint="eastAsia" w:ascii="宋体" w:hAnsi="宋体"/>
          <w:szCs w:val="21"/>
        </w:rPr>
        <w:t>、诊断证明及其他医疗</w:t>
      </w:r>
      <w:r>
        <w:rPr>
          <w:rFonts w:ascii="宋体" w:hAnsi="宋体"/>
          <w:szCs w:val="21"/>
        </w:rPr>
        <w:t>记录</w:t>
      </w:r>
      <w:r>
        <w:rPr>
          <w:rFonts w:hint="eastAsia" w:ascii="宋体" w:hAnsi="宋体"/>
          <w:szCs w:val="21"/>
        </w:rPr>
        <w:t>等；</w:t>
      </w:r>
    </w:p>
    <w:p>
      <w:pPr>
        <w:pStyle w:val="24"/>
        <w:numPr>
          <w:ilvl w:val="0"/>
          <w:numId w:val="11"/>
        </w:numPr>
        <w:ind w:left="840" w:leftChars="0" w:hanging="420" w:firstLineChars="0"/>
        <w:rPr>
          <w:rFonts w:ascii="宋体" w:hAnsi="宋体"/>
          <w:szCs w:val="21"/>
        </w:rPr>
      </w:pPr>
      <w:r>
        <w:rPr>
          <w:rFonts w:hint="eastAsia" w:asciiTheme="majorEastAsia" w:hAnsiTheme="majorEastAsia" w:eastAsiaTheme="majorEastAsia"/>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r>
        <w:rPr>
          <w:rFonts w:hint="eastAsia" w:ascii="宋体" w:hAnsi="宋体"/>
          <w:szCs w:val="21"/>
        </w:rPr>
        <w:t>；</w:t>
      </w:r>
    </w:p>
    <w:p>
      <w:pPr>
        <w:pStyle w:val="24"/>
        <w:numPr>
          <w:ilvl w:val="0"/>
          <w:numId w:val="11"/>
        </w:numPr>
        <w:ind w:left="840" w:leftChars="0" w:hanging="420" w:firstLineChars="0"/>
        <w:rPr>
          <w:rFonts w:asciiTheme="minorEastAsia" w:hAnsiTheme="minorEastAsia"/>
        </w:rPr>
      </w:pPr>
      <w:r>
        <w:rPr>
          <w:rFonts w:hint="eastAsia" w:ascii="宋体" w:hAnsi="宋体"/>
          <w:szCs w:val="21"/>
          <w:lang w:val="en-US" w:eastAsia="zh-CN"/>
        </w:rPr>
        <w:t>被保险</w:t>
      </w:r>
      <w:r>
        <w:rPr>
          <w:rFonts w:hint="eastAsia" w:ascii="宋体" w:hAnsi="宋体"/>
          <w:szCs w:val="21"/>
        </w:rPr>
        <w:t>人</w:t>
      </w:r>
      <w:r>
        <w:rPr>
          <w:rFonts w:ascii="宋体" w:hAnsi="宋体"/>
          <w:szCs w:val="21"/>
        </w:rPr>
        <w:t>所能提供的与确认保险事故的性质、原因、损失程度等有关的其他证明和资料</w:t>
      </w:r>
      <w:r>
        <w:rPr>
          <w:rFonts w:hint="eastAsia" w:ascii="宋体" w:hAnsi="宋体"/>
          <w:szCs w:val="21"/>
          <w:lang w:eastAsia="zh-CN"/>
        </w:rPr>
        <w:t>；</w:t>
      </w:r>
    </w:p>
    <w:p>
      <w:pPr>
        <w:pStyle w:val="24"/>
        <w:numPr>
          <w:ilvl w:val="0"/>
          <w:numId w:val="11"/>
        </w:numPr>
        <w:ind w:left="840" w:leftChars="0" w:hanging="420" w:firstLineChars="0"/>
        <w:rPr>
          <w:rFonts w:asciiTheme="minorEastAsia" w:hAnsiTheme="minorEastAsia"/>
        </w:rPr>
      </w:pPr>
      <w:r>
        <w:rPr>
          <w:rFonts w:hint="eastAsia" w:asciiTheme="minorEastAsia" w:hAnsiTheme="minorEastAsia"/>
        </w:rPr>
        <w:t>卡中心或保险公司认为必要的其他相关资料</w:t>
      </w:r>
      <w:r>
        <w:rPr>
          <w:rFonts w:ascii="宋体" w:hAnsi="宋体"/>
          <w:szCs w:val="21"/>
        </w:rPr>
        <w:t>。</w:t>
      </w:r>
    </w:p>
    <w:p>
      <w:pPr>
        <w:numPr>
          <w:ilvl w:val="0"/>
          <w:numId w:val="3"/>
        </w:numPr>
        <w:tabs>
          <w:tab w:val="left" w:pos="640"/>
        </w:tabs>
        <w:jc w:val="left"/>
        <w:rPr>
          <w:rFonts w:asciiTheme="minorEastAsia" w:hAnsiTheme="minorEastAsia"/>
          <w:b/>
          <w:bCs/>
        </w:rPr>
      </w:pPr>
      <w:r>
        <w:rPr>
          <w:rFonts w:hint="eastAsia" w:asciiTheme="minorEastAsia" w:hAnsiTheme="minorEastAsia"/>
          <w:b/>
          <w:bCs/>
        </w:rPr>
        <w:t>综合意外伤害保险服务内容(附赠保险权益)</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该保险服务为卡中心赠送给主持卡人的保险权益。投保人为卡中心、被保险人为订购“如意宝”增值服务产品且保险权益已生效的持卡人。承保公司为太平财产保险有限公司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在2024年8月9日0:00之前的订单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在2024年8月9日0:00之后的订单含续费订单</w:t>
      </w:r>
      <w:r>
        <w:rPr>
          <w:rFonts w:hint="eastAsia" w:asciiTheme="minorEastAsia" w:hAnsiTheme="minorEastAsia"/>
          <w:b/>
          <w:bCs/>
          <w:lang w:val="en-US" w:eastAsia="zh-CN"/>
        </w:rPr>
        <w:t>）</w:t>
      </w:r>
      <w:r>
        <w:rPr>
          <w:rFonts w:hint="eastAsia" w:asciiTheme="minorEastAsia" w:hAnsiTheme="minorEastAsia"/>
          <w:b/>
          <w:bCs/>
        </w:rPr>
        <w:t>。该保险为团体保险，持卡人可致电太平财产保险有限公司客服热线</w:t>
      </w:r>
      <w:r>
        <w:rPr>
          <w:rFonts w:asciiTheme="minorEastAsia" w:hAnsiTheme="minorEastAsia"/>
          <w:b/>
          <w:bCs/>
        </w:rPr>
        <w:t>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rPr>
        <w:t>查询或申请保险凭证。</w:t>
      </w:r>
    </w:p>
    <w:p>
      <w:pPr>
        <w:numPr>
          <w:ilvl w:val="0"/>
          <w:numId w:val="12"/>
        </w:numPr>
        <w:tabs>
          <w:tab w:val="left" w:pos="640"/>
        </w:tabs>
        <w:ind w:left="420"/>
        <w:jc w:val="left"/>
        <w:rPr>
          <w:rFonts w:asciiTheme="minorEastAsia" w:hAnsiTheme="minorEastAsia"/>
          <w:b/>
          <w:bCs/>
        </w:rPr>
      </w:pPr>
      <w:r>
        <w:rPr>
          <w:rFonts w:hint="eastAsia" w:asciiTheme="minorEastAsia" w:hAnsiTheme="minorEastAsia"/>
          <w:b/>
          <w:bCs/>
        </w:rPr>
        <w:t>保障金额</w:t>
      </w:r>
    </w:p>
    <w:p>
      <w:pPr>
        <w:numPr>
          <w:ilvl w:val="-1"/>
          <w:numId w:val="0"/>
        </w:numPr>
        <w:ind w:left="0" w:firstLine="420" w:firstLineChars="200"/>
        <w:jc w:val="left"/>
        <w:rPr>
          <w:rFonts w:asciiTheme="minorEastAsia" w:hAnsiTheme="minorEastAsia"/>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3"/>
        <w:tblW w:w="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如意宝A</w:t>
            </w:r>
          </w:p>
        </w:tc>
        <w:tc>
          <w:tcPr>
            <w:tcW w:w="2715" w:type="dxa"/>
          </w:tcPr>
          <w:p>
            <w:pPr>
              <w:tabs>
                <w:tab w:val="left" w:pos="640"/>
              </w:tabs>
              <w:jc w:val="center"/>
              <w:rPr>
                <w:rFonts w:asciiTheme="minorEastAsia" w:hAnsiTheme="minorEastAsia"/>
              </w:rPr>
            </w:pPr>
            <w:r>
              <w:rPr>
                <w:rFonts w:asciiTheme="minorEastAsia" w:hAnsiTheme="minorEastAsia"/>
              </w:rPr>
              <w:t>10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如意宝B</w:t>
            </w:r>
          </w:p>
        </w:tc>
        <w:tc>
          <w:tcPr>
            <w:tcW w:w="2715" w:type="dxa"/>
          </w:tcPr>
          <w:p>
            <w:pPr>
              <w:tabs>
                <w:tab w:val="left" w:pos="640"/>
              </w:tabs>
              <w:jc w:val="center"/>
              <w:rPr>
                <w:rFonts w:asciiTheme="minorEastAsia" w:hAnsiTheme="minorEastAsia"/>
              </w:rPr>
            </w:pPr>
            <w:r>
              <w:rPr>
                <w:rFonts w:asciiTheme="minorEastAsia" w:hAnsiTheme="minorEastAsia"/>
              </w:rPr>
              <w:t>20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如意宝C</w:t>
            </w:r>
          </w:p>
        </w:tc>
        <w:tc>
          <w:tcPr>
            <w:tcW w:w="2715" w:type="dxa"/>
          </w:tcPr>
          <w:p>
            <w:pPr>
              <w:tabs>
                <w:tab w:val="left" w:pos="640"/>
              </w:tabs>
              <w:jc w:val="center"/>
              <w:rPr>
                <w:rFonts w:asciiTheme="minorEastAsia" w:hAnsiTheme="minorEastAsia"/>
              </w:rPr>
            </w:pPr>
            <w:r>
              <w:rPr>
                <w:rFonts w:hint="eastAsia" w:asciiTheme="minorEastAsia" w:hAnsiTheme="minorEastAsia"/>
              </w:rPr>
              <w:t>2</w:t>
            </w:r>
            <w:r>
              <w:rPr>
                <w:rFonts w:asciiTheme="minorEastAsia" w:hAnsiTheme="minorEastAsia"/>
              </w:rPr>
              <w:t>0</w:t>
            </w:r>
            <w:r>
              <w:rPr>
                <w:rFonts w:hint="eastAsia" w:asciiTheme="minorEastAsia" w:hAnsiTheme="minorEastAsia"/>
              </w:rPr>
              <w:t>万元</w:t>
            </w:r>
          </w:p>
        </w:tc>
      </w:tr>
    </w:tbl>
    <w:p>
      <w:pPr>
        <w:numPr>
          <w:ilvl w:val="0"/>
          <w:numId w:val="12"/>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rPr>
      </w:pPr>
      <w:r>
        <w:rPr>
          <w:rFonts w:hint="eastAsia" w:asciiTheme="minorEastAsia" w:hAnsiTheme="minorEastAsia"/>
        </w:rPr>
        <w:t>凡订购“如意宝”优选增值服务产品的持卡人，</w:t>
      </w:r>
      <w:r>
        <w:rPr>
          <w:rFonts w:hint="eastAsia" w:ascii="宋体" w:hAnsi="宋体" w:cs="宋体"/>
          <w:szCs w:val="21"/>
          <w:highlight w:val="none"/>
        </w:rPr>
        <w:t>在保障权益生效后，</w:t>
      </w:r>
      <w:r>
        <w:rPr>
          <w:rFonts w:hint="eastAsia" w:asciiTheme="minorEastAsia" w:hAnsiTheme="minorEastAsia"/>
        </w:rPr>
        <w:t>不幸遭受意外伤害，并因该意外伤害导致身故</w:t>
      </w:r>
      <w:r>
        <w:rPr>
          <w:rFonts w:hint="eastAsia" w:asciiTheme="minorEastAsia" w:hAnsiTheme="minorEastAsia"/>
          <w:lang w:val="en-US" w:eastAsia="zh-CN"/>
        </w:rPr>
        <w:t>或</w:t>
      </w:r>
      <w:r>
        <w:rPr>
          <w:rFonts w:hint="eastAsia" w:asciiTheme="minorEastAsia" w:hAnsiTheme="minorEastAsia"/>
        </w:rPr>
        <w:t>达到伤残等级标准，可享高达10/20万元的意外伤害保险。</w:t>
      </w:r>
    </w:p>
    <w:p>
      <w:pPr>
        <w:pStyle w:val="23"/>
        <w:numPr>
          <w:ilvl w:val="0"/>
          <w:numId w:val="13"/>
        </w:numPr>
        <w:ind w:leftChars="0" w:firstLine="420" w:firstLineChars="200"/>
        <w:jc w:val="left"/>
        <w:rPr>
          <w:rFonts w:asciiTheme="minorEastAsia" w:hAnsiTheme="minorEastAsia"/>
          <w:highlight w:val="none"/>
        </w:rPr>
      </w:pPr>
      <w:r>
        <w:rPr>
          <w:rFonts w:hint="eastAsia" w:asciiTheme="minorEastAsia" w:hAnsiTheme="minorEastAsia" w:eastAsiaTheme="minorEastAsia"/>
          <w:b w:val="0"/>
          <w:color w:val="000000" w:themeColor="text1"/>
          <w:szCs w:val="21"/>
          <w:highlight w:val="none"/>
          <w14:textFill>
            <w14:solidFill>
              <w14:schemeClr w14:val="tx1"/>
            </w14:solidFill>
          </w14:textFill>
        </w:rPr>
        <w:t>意外身故保险责任</w:t>
      </w:r>
    </w:p>
    <w:p>
      <w:pPr>
        <w:numPr>
          <w:ilvl w:val="-1"/>
          <w:numId w:val="0"/>
        </w:numPr>
        <w:tabs>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保险期间内</w:t>
      </w:r>
      <w:r>
        <w:rPr>
          <w:rFonts w:hint="eastAsia" w:asciiTheme="minorEastAsia" w:hAnsiTheme="minorEastAsia"/>
          <w:highlight w:val="none"/>
          <w:lang w:eastAsia="zh-CN"/>
        </w:rPr>
        <w:t>，</w:t>
      </w:r>
      <w:r>
        <w:rPr>
          <w:rFonts w:hint="eastAsia" w:asciiTheme="minorEastAsia" w:hAnsiTheme="minorEastAsia" w:eastAsiaTheme="minorEastAsia"/>
          <w:b/>
          <w:bCs/>
          <w:color w:val="000000" w:themeColor="text1"/>
          <w:szCs w:val="21"/>
          <w:highlight w:val="none"/>
          <w14:textFill>
            <w14:solidFill>
              <w14:schemeClr w14:val="tx1"/>
            </w14:solidFill>
          </w14:textFill>
        </w:rPr>
        <w:t>被保险人</w:t>
      </w:r>
      <w:r>
        <w:rPr>
          <w:rFonts w:hint="eastAsia" w:asciiTheme="minorEastAsia" w:hAnsiTheme="minorEastAsia"/>
          <w:b/>
          <w:bCs/>
          <w:highlight w:val="none"/>
        </w:rPr>
        <w:t>遭受意外伤害</w:t>
      </w:r>
      <w:r>
        <w:rPr>
          <w:rFonts w:hint="eastAsia" w:asciiTheme="minorEastAsia" w:hAnsiTheme="minorEastAsia"/>
          <w:b/>
          <w:bCs/>
          <w:highlight w:val="none"/>
          <w:lang w:val="en-US" w:eastAsia="zh-CN"/>
        </w:rPr>
        <w:t>事故</w:t>
      </w:r>
      <w:r>
        <w:rPr>
          <w:rFonts w:hint="eastAsia" w:asciiTheme="minorEastAsia" w:hAnsiTheme="minorEastAsia"/>
          <w:b/>
          <w:bCs/>
          <w:highlight w:val="none"/>
        </w:rPr>
        <w:t>，</w:t>
      </w:r>
      <w:r>
        <w:rPr>
          <w:rFonts w:hint="eastAsia" w:asciiTheme="minorEastAsia" w:hAnsiTheme="minorEastAsia"/>
          <w:highlight w:val="none"/>
        </w:rPr>
        <w:t>并自意外伤害发生之日起180日内因该意外伤害身故的，保险公司按保险金额给付身故保险金，对该被保险人的保险责任终止。</w:t>
      </w:r>
    </w:p>
    <w:p>
      <w:pPr>
        <w:pStyle w:val="24"/>
        <w:numPr>
          <w:ilvl w:val="-1"/>
          <w:numId w:val="0"/>
        </w:numPr>
        <w:ind w:left="0" w:leftChars="0" w:firstLine="420" w:firstLineChars="200"/>
        <w:jc w:val="left"/>
        <w:rPr>
          <w:rFonts w:hint="eastAsia" w:asciiTheme="minorEastAsia" w:hAnsiTheme="minorEastAsia" w:eastAsia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被保险人因遭受意外伤害事故且自该事故发生日起下落不明，后经人民法院宣告死亡的，保险</w:t>
      </w:r>
      <w:r>
        <w:rPr>
          <w:rFonts w:hint="eastAsia" w:asciiTheme="minorEastAsia" w:hAnsiTheme="minorEastAsia"/>
          <w:color w:val="000000" w:themeColor="text1"/>
          <w:szCs w:val="21"/>
          <w:highlight w:val="none"/>
          <w:lang w:val="en-US" w:eastAsia="zh-CN"/>
          <w14:textFill>
            <w14:solidFill>
              <w14:schemeClr w14:val="tx1"/>
            </w14:solidFill>
          </w14:textFill>
        </w:rPr>
        <w:t>公司</w:t>
      </w:r>
      <w:r>
        <w:rPr>
          <w:rFonts w:hint="eastAsia" w:asciiTheme="minorEastAsia" w:hAnsiTheme="minorEastAsia" w:eastAsiaTheme="minorEastAsia"/>
          <w:color w:val="000000" w:themeColor="text1"/>
          <w:szCs w:val="21"/>
          <w:highlight w:val="none"/>
          <w14:textFill>
            <w14:solidFill>
              <w14:schemeClr w14:val="tx1"/>
            </w14:solidFill>
          </w14:textFill>
        </w:rPr>
        <w:t>按意外伤害保险金额给付身故保险金。</w:t>
      </w:r>
      <w:r>
        <w:rPr>
          <w:rFonts w:hint="eastAsia" w:asciiTheme="minorEastAsia" w:hAnsiTheme="minorEastAsia" w:eastAsiaTheme="minorEastAsia"/>
          <w:b/>
          <w:bCs/>
          <w:color w:val="000000" w:themeColor="text1"/>
          <w:szCs w:val="21"/>
          <w:highlight w:val="none"/>
          <w14:textFill>
            <w14:solidFill>
              <w14:schemeClr w14:val="tx1"/>
            </w14:solidFill>
          </w14:textFill>
        </w:rPr>
        <w:t>但若被保险人被宣告死亡后生还的，保险金受领人应于知道或应当知道被保险人生还后30日内退还保险</w:t>
      </w:r>
      <w:r>
        <w:rPr>
          <w:rFonts w:hint="eastAsia" w:asciiTheme="minorEastAsia" w:hAnsiTheme="minorEastAsia"/>
          <w:b/>
          <w:bCs/>
          <w:color w:val="000000" w:themeColor="text1"/>
          <w:szCs w:val="21"/>
          <w:highlight w:val="none"/>
          <w:lang w:val="en-US" w:eastAsia="zh-CN"/>
          <w14:textFill>
            <w14:solidFill>
              <w14:schemeClr w14:val="tx1"/>
            </w14:solidFill>
          </w14:textFill>
        </w:rPr>
        <w:t>公司</w:t>
      </w:r>
      <w:r>
        <w:rPr>
          <w:rFonts w:hint="eastAsia" w:asciiTheme="minorEastAsia" w:hAnsiTheme="minorEastAsia" w:eastAsiaTheme="minorEastAsia"/>
          <w:b/>
          <w:bCs/>
          <w:color w:val="000000" w:themeColor="text1"/>
          <w:szCs w:val="21"/>
          <w:highlight w:val="none"/>
          <w14:textFill>
            <w14:solidFill>
              <w14:schemeClr w14:val="tx1"/>
            </w14:solidFill>
          </w14:textFill>
        </w:rPr>
        <w:t>给付的身故保险金。</w:t>
      </w:r>
    </w:p>
    <w:p>
      <w:pPr>
        <w:pStyle w:val="24"/>
        <w:numPr>
          <w:ilvl w:val="-1"/>
          <w:numId w:val="0"/>
        </w:numPr>
        <w:ind w:left="0" w:leftChars="0" w:firstLine="422" w:firstLineChars="200"/>
        <w:jc w:val="left"/>
        <w:rPr>
          <w:rFonts w:hint="eastAsia" w:asciiTheme="minorEastAsia" w:hAnsiTheme="minorEastAsia" w:eastAsiaTheme="minorEastAsia"/>
          <w:b/>
          <w:bCs/>
          <w:color w:val="000000" w:themeColor="text1"/>
          <w:szCs w:val="21"/>
          <w:highlight w:val="none"/>
          <w14:textFill>
            <w14:solidFill>
              <w14:schemeClr w14:val="tx1"/>
            </w14:solidFill>
          </w14:textFill>
        </w:rPr>
      </w:pPr>
      <w:r>
        <w:rPr>
          <w:rFonts w:hint="eastAsia" w:ascii="宋体" w:hAnsi="宋体"/>
          <w:b/>
          <w:szCs w:val="21"/>
        </w:rPr>
        <w:t>被保险人身故前保险</w:t>
      </w:r>
      <w:r>
        <w:rPr>
          <w:rFonts w:hint="eastAsia" w:ascii="宋体" w:hAnsi="宋体"/>
          <w:b/>
          <w:szCs w:val="21"/>
          <w:lang w:val="en-US" w:eastAsia="zh-CN"/>
        </w:rPr>
        <w:t>公司</w:t>
      </w:r>
      <w:r>
        <w:rPr>
          <w:rFonts w:hint="eastAsia" w:ascii="宋体" w:hAnsi="宋体"/>
          <w:b/>
          <w:szCs w:val="21"/>
        </w:rPr>
        <w:t>已给付</w:t>
      </w:r>
      <w:r>
        <w:rPr>
          <w:rFonts w:hint="eastAsia" w:ascii="宋体" w:hAnsi="宋体"/>
          <w:b/>
          <w:szCs w:val="21"/>
          <w:lang w:val="en-US" w:eastAsia="zh-CN"/>
        </w:rPr>
        <w:t>②</w:t>
      </w:r>
      <w:r>
        <w:rPr>
          <w:rFonts w:hint="eastAsia" w:ascii="宋体" w:hAnsi="宋体"/>
          <w:b/>
          <w:szCs w:val="21"/>
        </w:rPr>
        <w:t>约定的意外伤残保险金的，意外身故保险金应扣除已给付的保险金。</w:t>
      </w:r>
    </w:p>
    <w:p>
      <w:pPr>
        <w:pStyle w:val="23"/>
        <w:numPr>
          <w:ilvl w:val="0"/>
          <w:numId w:val="13"/>
        </w:numPr>
        <w:ind w:leftChars="0" w:firstLine="420" w:firstLineChars="200"/>
        <w:jc w:val="left"/>
        <w:rPr>
          <w:rFonts w:asciiTheme="minorEastAsia" w:hAnsiTheme="minorEastAsia"/>
          <w:highlight w:val="none"/>
        </w:rPr>
      </w:pPr>
      <w:r>
        <w:rPr>
          <w:rFonts w:hint="eastAsia" w:asciiTheme="minorEastAsia" w:hAnsiTheme="minorEastAsia" w:eastAsiaTheme="minorEastAsia"/>
          <w:b w:val="0"/>
          <w:color w:val="000000" w:themeColor="text1"/>
          <w:szCs w:val="21"/>
          <w:highlight w:val="none"/>
          <w14:textFill>
            <w14:solidFill>
              <w14:schemeClr w14:val="tx1"/>
            </w14:solidFill>
          </w14:textFill>
        </w:rPr>
        <w:t>意外伤残保险责任</w:t>
      </w:r>
    </w:p>
    <w:p>
      <w:pPr>
        <w:tabs>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保险期间内</w:t>
      </w:r>
      <w:r>
        <w:rPr>
          <w:rFonts w:hint="eastAsia" w:asciiTheme="minorEastAsia" w:hAnsiTheme="minorEastAsia"/>
          <w:highlight w:val="none"/>
          <w:lang w:eastAsia="zh-CN"/>
        </w:rPr>
        <w:t>，</w:t>
      </w:r>
      <w:r>
        <w:rPr>
          <w:rFonts w:hint="eastAsia" w:asciiTheme="minorEastAsia" w:hAnsiTheme="minorEastAsia" w:eastAsiaTheme="minorEastAsia"/>
          <w:b/>
          <w:bCs/>
          <w:color w:val="000000" w:themeColor="text1"/>
          <w:szCs w:val="21"/>
          <w:highlight w:val="none"/>
          <w14:textFill>
            <w14:solidFill>
              <w14:schemeClr w14:val="tx1"/>
            </w14:solidFill>
          </w14:textFill>
        </w:rPr>
        <w:t>被保险人</w:t>
      </w:r>
      <w:r>
        <w:rPr>
          <w:rFonts w:hint="eastAsia" w:asciiTheme="minorEastAsia" w:hAnsiTheme="minorEastAsia"/>
          <w:b/>
          <w:bCs/>
          <w:highlight w:val="none"/>
        </w:rPr>
        <w:t>遭受意外伤害，</w:t>
      </w:r>
      <w:r>
        <w:rPr>
          <w:rFonts w:hint="eastAsia" w:asciiTheme="minorEastAsia" w:hAnsiTheme="minorEastAsia"/>
          <w:highlight w:val="none"/>
        </w:rPr>
        <w:t>并自该意外伤害发生之日起180日内因该意外伤害造成</w:t>
      </w:r>
      <w:r>
        <w:rPr>
          <w:rFonts w:hint="eastAsia" w:asciiTheme="minorEastAsia" w:hAnsiTheme="minorEastAsia"/>
          <w:b/>
          <w:bCs/>
          <w:highlight w:val="none"/>
        </w:rPr>
        <w:t>《人身保险伤残评定标准》</w:t>
      </w:r>
      <w:r>
        <w:rPr>
          <w:rFonts w:hint="eastAsia" w:asciiTheme="minorEastAsia" w:hAnsiTheme="minorEastAsia"/>
          <w:highlight w:val="none"/>
        </w:rPr>
        <w:t>所列残疾程度之一的，</w:t>
      </w:r>
      <w:r>
        <w:rPr>
          <w:rFonts w:hint="eastAsia" w:asciiTheme="minorEastAsia" w:hAnsiTheme="minorEastAsia"/>
          <w:b/>
          <w:bCs/>
          <w:highlight w:val="none"/>
        </w:rPr>
        <w:t>保险公司按《人身保险伤残评定标准》所对应伤残等级的给付比例乘以保险金额给付残疾保险金（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highlight w:val="none"/>
        </w:rPr>
        <w:t>如第180日治疗仍未结束的，按当日的身体情况进行伤残评定，并据此给付残疾保险金。</w:t>
      </w:r>
    </w:p>
    <w:p>
      <w:pPr>
        <w:pStyle w:val="24"/>
        <w:numPr>
          <w:ilvl w:val="-1"/>
          <w:numId w:val="0"/>
        </w:numPr>
        <w:spacing w:after="50" w:line="240" w:lineRule="auto"/>
        <w:ind w:left="0" w:leftChars="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保险人因同一保险事故造成两处或两处以上伤残时，应首先对各处伤残程度分别进行评定，如果几处伤残等级不同，以最高的伤残等级作为最终的评定结论；如果两处或两处以上伤残等级相同，伤残等级在原评定基础上晋升一级，最高晋升至第一级。同一部位和性质的伤残，不应采用《残疾评定行业标准》条文两条以上或者同一条文两次以上进行评定。</w:t>
      </w:r>
    </w:p>
    <w:p>
      <w:pPr>
        <w:pStyle w:val="24"/>
        <w:numPr>
          <w:ilvl w:val="-1"/>
          <w:numId w:val="0"/>
        </w:numPr>
        <w:spacing w:after="50" w:line="240" w:lineRule="auto"/>
        <w:ind w:left="0" w:leftChars="0"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被保险人如在本次意外伤害事故之前已有残疾，保险人按合并后的残疾程度在《残疾评定行业标准》中所对应的给付比例给付残疾保险金，</w:t>
      </w:r>
      <w:r>
        <w:rPr>
          <w:rFonts w:hint="eastAsia" w:ascii="宋体" w:hAnsi="宋体"/>
          <w:b/>
          <w:color w:val="000000" w:themeColor="text1"/>
          <w:szCs w:val="21"/>
          <w:highlight w:val="none"/>
          <w14:textFill>
            <w14:solidFill>
              <w14:schemeClr w14:val="tx1"/>
            </w14:solidFill>
          </w14:textFill>
        </w:rPr>
        <w:t>但应扣除原有残疾程度在《残疾评定行业标准》所对应的残疾保险金。</w:t>
      </w:r>
    </w:p>
    <w:p>
      <w:pPr>
        <w:tabs>
          <w:tab w:val="left" w:pos="640"/>
        </w:tabs>
        <w:ind w:firstLine="422" w:firstLineChars="200"/>
        <w:jc w:val="left"/>
        <w:rPr>
          <w:rFonts w:hint="eastAsia" w:asciiTheme="minorEastAsia" w:hAnsiTheme="minorEastAsia" w:eastAsiaTheme="minorEastAsia"/>
          <w:b w:val="0"/>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在保险期间内，前述第</w:t>
      </w:r>
      <w:r>
        <w:rPr>
          <w:rFonts w:hint="eastAsia" w:ascii="宋体" w:hAnsi="宋体"/>
          <w:b/>
          <w:color w:val="000000" w:themeColor="text1"/>
          <w:szCs w:val="21"/>
          <w:highlight w:val="none"/>
          <w:lang w:val="en-US" w:eastAsia="zh-CN"/>
          <w14:textFill>
            <w14:solidFill>
              <w14:schemeClr w14:val="tx1"/>
            </w14:solidFill>
          </w14:textFill>
        </w:rPr>
        <w:t>①</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②</w:t>
      </w:r>
      <w:r>
        <w:rPr>
          <w:rFonts w:hint="eastAsia" w:ascii="宋体" w:hAnsi="宋体"/>
          <w:b/>
          <w:color w:val="000000" w:themeColor="text1"/>
          <w:szCs w:val="21"/>
          <w:highlight w:val="none"/>
          <w14:textFill>
            <w14:solidFill>
              <w14:schemeClr w14:val="tx1"/>
            </w14:solidFill>
          </w14:textFill>
        </w:rPr>
        <w:t>款下的保险金累计给付金额以保险金额为限。</w:t>
      </w:r>
    </w:p>
    <w:p>
      <w:pPr>
        <w:numPr>
          <w:ilvl w:val="0"/>
          <w:numId w:val="12"/>
        </w:numPr>
        <w:tabs>
          <w:tab w:val="left" w:pos="640"/>
        </w:tabs>
        <w:ind w:left="420"/>
        <w:jc w:val="left"/>
        <w:rPr>
          <w:rFonts w:asciiTheme="minorEastAsia" w:hAnsiTheme="minorEastAsia"/>
          <w:b/>
          <w:bCs/>
        </w:rPr>
      </w:pP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cstheme="minorBidi"/>
          <w:b/>
          <w:bCs/>
          <w:sz w:val="21"/>
          <w:szCs w:val="24"/>
          <w:lang w:val="en-US" w:eastAsia="zh-CN"/>
        </w:rPr>
        <w:t>2024年8月9日0:00之前的订单所适用的保险条款如下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《太平财产保险有限公司团体人身意外伤害保险（A版）条款》注册号【</w:t>
      </w:r>
      <w:r>
        <w:rPr>
          <w:rFonts w:asciiTheme="minorEastAsia" w:hAnsiTheme="minorEastAsia"/>
          <w:b/>
          <w:bCs/>
        </w:rPr>
        <w:t>C00002632312022051385521</w:t>
      </w:r>
      <w:r>
        <w:rPr>
          <w:rFonts w:hint="eastAsia" w:asciiTheme="minorEastAsia" w:hAnsiTheme="minorEastAsia"/>
          <w:b/>
          <w:bCs/>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《太平财产保险股份有限公司附加超龄人员扩展条款（2011版）（扩展）》注册号【</w:t>
      </w:r>
      <w:r>
        <w:rPr>
          <w:rFonts w:asciiTheme="minorEastAsia" w:hAnsiTheme="minorEastAsia"/>
          <w:b/>
          <w:bCs/>
        </w:rPr>
        <w:t>H00002632322017052347511</w:t>
      </w:r>
      <w:r>
        <w:rPr>
          <w:rFonts w:hint="eastAsia" w:asciiTheme="minorEastAsia" w:hAnsiTheme="minorEastAsia"/>
          <w:b/>
          <w:bCs/>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《太平财产保险股份有限公司附加意外伤害医疗保险（2019版）条款》注册号【</w:t>
      </w:r>
      <w:r>
        <w:rPr>
          <w:rFonts w:asciiTheme="minorEastAsia" w:hAnsiTheme="minorEastAsia"/>
          <w:b/>
          <w:bCs/>
        </w:rPr>
        <w:t>C00002632522019073105092</w:t>
      </w:r>
      <w:r>
        <w:rPr>
          <w:rFonts w:hint="eastAsia" w:asciiTheme="minorEastAsia" w:hAnsiTheme="minorEastAsia"/>
          <w:b/>
          <w:bCs/>
        </w:rPr>
        <w:t>】</w:t>
      </w:r>
    </w:p>
    <w:p>
      <w:pPr>
        <w:pStyle w:val="10"/>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2024年8月9日0:0及之后的订单（含续费订单）所适用的保险条款如下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hint="eastAsia" w:asciiTheme="minorEastAsia" w:hAnsiTheme="minorEastAsia" w:eastAsiaTheme="minorEastAsia"/>
          <w:b/>
          <w:bCs/>
          <w:lang w:eastAsia="zh-CN"/>
        </w:rPr>
      </w:pPr>
      <w:r>
        <w:rPr>
          <w:rFonts w:hint="eastAsia" w:asciiTheme="minorEastAsia" w:hAnsiTheme="minorEastAsia"/>
          <w:b/>
          <w:bCs/>
          <w:lang w:eastAsia="zh-CN"/>
        </w:rPr>
        <w:t>《</w:t>
      </w:r>
      <w:r>
        <w:rPr>
          <w:rFonts w:hint="eastAsia" w:asciiTheme="minorEastAsia" w:hAnsiTheme="minorEastAsia"/>
          <w:b/>
          <w:bCs/>
        </w:rPr>
        <w:t>中国人民财产保险股份有限公司意外伤害保险（2022版）条款</w:t>
      </w:r>
      <w:r>
        <w:rPr>
          <w:rFonts w:hint="eastAsia" w:asciiTheme="minorEastAsia" w:hAnsiTheme="minorEastAsia"/>
          <w:b/>
          <w:bCs/>
          <w:lang w:eastAsia="zh-CN"/>
        </w:rPr>
        <w:t>》</w:t>
      </w:r>
      <w:r>
        <w:rPr>
          <w:rFonts w:hint="eastAsia" w:asciiTheme="minorEastAsia" w:hAnsiTheme="minorEastAsia"/>
          <w:b/>
          <w:bCs/>
        </w:rPr>
        <w:t>注册号</w:t>
      </w:r>
      <w:r>
        <w:rPr>
          <w:rFonts w:hint="eastAsia" w:asciiTheme="minorEastAsia" w:hAnsiTheme="minorEastAsia"/>
          <w:b/>
          <w:bCs/>
          <w:lang w:eastAsia="zh-CN"/>
        </w:rPr>
        <w:t>【C00000232312022061734913】</w:t>
      </w:r>
    </w:p>
    <w:p>
      <w:pPr>
        <w:numPr>
          <w:ilvl w:val="0"/>
          <w:numId w:val="12"/>
        </w:numPr>
        <w:tabs>
          <w:tab w:val="left" w:pos="640"/>
        </w:tabs>
        <w:ind w:left="420"/>
        <w:jc w:val="left"/>
        <w:rPr>
          <w:rFonts w:asciiTheme="minorEastAsia" w:hAnsiTheme="minorEastAsia"/>
          <w:b/>
          <w:bCs/>
        </w:rPr>
      </w:pPr>
      <w:r>
        <w:rPr>
          <w:rFonts w:hint="eastAsia" w:asciiTheme="minorEastAsia" w:hAnsiTheme="minorEastAsia"/>
          <w:b/>
          <w:bCs/>
        </w:rPr>
        <w:t>责任免除条款</w:t>
      </w:r>
    </w:p>
    <w:p>
      <w:pPr>
        <w:pStyle w:val="20"/>
        <w:numPr>
          <w:ilvl w:val="0"/>
          <w:numId w:val="0"/>
        </w:numPr>
        <w:tabs>
          <w:tab w:val="left" w:pos="312"/>
          <w:tab w:val="left" w:pos="640"/>
        </w:tabs>
        <w:ind w:left="420"/>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left="420"/>
        <w:jc w:val="left"/>
        <w:rPr>
          <w:rFonts w:asciiTheme="minorEastAsia" w:hAnsiTheme="minorEastAsia"/>
          <w:b/>
          <w:bCs/>
        </w:rPr>
      </w:pPr>
      <w:r>
        <w:rPr>
          <w:rFonts w:hint="eastAsia" w:asciiTheme="minorEastAsia" w:hAnsiTheme="minorEastAsia"/>
          <w:b/>
          <w:bCs/>
        </w:rPr>
        <w:t>因下列原因造成被保险人身故、伤残的，保险公司不承担给付保险金责任：</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投保人的故意行为；</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因被保险人挑衅或故意行为而导致的打斗、被袭击、被谋杀或殴斗；</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被保险人妊娠（包括宫外孕）、流产（但因遭受意外伤害所致不在此限）、堕胎、安胎、分娩、疾病、药物过敏、食物中毒；</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被保险人接受包括美容、整容、整容手术在内的任何医疗行为而造成的意外；</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被保险人未遵医嘱服用、涂用、注射药物；</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各类疾病，以及高原反应、中暑、猝死；</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非因意外伤害导致的细菌或病毒感染；</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20"/>
        <w:numPr>
          <w:ilvl w:val="0"/>
          <w:numId w:val="14"/>
        </w:numPr>
        <w:tabs>
          <w:tab w:val="left" w:pos="640"/>
        </w:tabs>
        <w:ind w:left="425" w:hanging="425" w:firstLineChars="0"/>
        <w:jc w:val="left"/>
        <w:rPr>
          <w:rFonts w:asciiTheme="minorEastAsia" w:hAnsiTheme="minorEastAsia"/>
          <w:b/>
          <w:bCs/>
        </w:rPr>
      </w:pPr>
      <w:r>
        <w:rPr>
          <w:rFonts w:hint="eastAsia" w:asciiTheme="minorEastAsia" w:hAnsiTheme="minorEastAsia"/>
          <w:b/>
          <w:bCs/>
        </w:rPr>
        <w:t>恐怖袭击。</w:t>
      </w:r>
    </w:p>
    <w:p>
      <w:pPr>
        <w:tabs>
          <w:tab w:val="left" w:pos="640"/>
        </w:tabs>
        <w:ind w:left="420"/>
        <w:jc w:val="left"/>
        <w:rPr>
          <w:rFonts w:asciiTheme="minorEastAsia" w:hAnsiTheme="minorEastAsia"/>
          <w:b/>
          <w:bCs/>
        </w:rPr>
      </w:pPr>
      <w:r>
        <w:rPr>
          <w:rFonts w:hint="eastAsia" w:asciiTheme="minorEastAsia" w:hAnsiTheme="minorEastAsia"/>
          <w:b/>
          <w:bCs/>
        </w:rPr>
        <w:t>被保险人在下列期间遭受伤害导致身故、伤残的，保险公司也不承担给付保险金责任：</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战争、军事行动、暴动或武装叛乱期间；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被保险人醉酒或受毒品、管制药物的影响期间；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被保险人酒后驾车、无有效驾驶证驾驶或驾驶无有效行驶证的机动交通工具期间；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被保险人存在精神和行为障碍（以世界卫生组织颁布的《疾病和有关健康问题的国际统计分类（ICD-10）》为准）期间；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被保险人从事高风险运动或活动期间；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被保险人置身于任何飞机或热气球、滑翔器等航空装置（以乘客身份搭乘民用或商业航班者不在此限）期间；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被保险人作为职业运动员或专业运动员参加训练或比赛期间；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被保险人作为军人(含特种兵)在训练或执行公务期间；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被保险人从事犯罪活动期间或被依法采取刑事强制措施或服刑期间；</w:t>
      </w:r>
    </w:p>
    <w:p>
      <w:pPr>
        <w:pStyle w:val="20"/>
        <w:numPr>
          <w:ilvl w:val="0"/>
          <w:numId w:val="15"/>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被保险人从事或参与恐怖主义活动、邪教组织活动；</w:t>
      </w:r>
    </w:p>
    <w:p>
      <w:pPr>
        <w:pStyle w:val="20"/>
        <w:numPr>
          <w:ilvl w:val="0"/>
          <w:numId w:val="15"/>
        </w:numPr>
        <w:tabs>
          <w:tab w:val="left" w:pos="640"/>
        </w:tabs>
        <w:ind w:left="425" w:hanging="425" w:firstLineChars="0"/>
        <w:jc w:val="left"/>
        <w:rPr>
          <w:rFonts w:asciiTheme="minorEastAsia" w:hAnsiTheme="minorEastAsia"/>
        </w:rPr>
      </w:pPr>
      <w:r>
        <w:rPr>
          <w:rFonts w:hint="eastAsia" w:asciiTheme="minorEastAsia" w:hAnsiTheme="minorEastAsia"/>
          <w:b/>
          <w:bCs/>
        </w:rPr>
        <w:t>被保险人患艾滋病（AIDS）或感染艾滋病毒（HIV呈阳性）期间。</w:t>
      </w:r>
    </w:p>
    <w:p>
      <w:pPr>
        <w:pStyle w:val="20"/>
        <w:numPr>
          <w:ilvl w:val="-1"/>
          <w:numId w:val="0"/>
        </w:numPr>
        <w:tabs>
          <w:tab w:val="left" w:pos="640"/>
        </w:tabs>
        <w:ind w:left="420" w:firstLine="0" w:firstLineChars="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6"/>
        <w:spacing w:line="260" w:lineRule="exact"/>
        <w:ind w:left="949" w:hanging="949" w:hangingChars="450"/>
        <w:rPr>
          <w:color w:val="auto"/>
        </w:rPr>
      </w:pPr>
      <w:r>
        <w:rPr>
          <w:rFonts w:hint="eastAsia" w:ascii="宋体" w:hAnsi="宋体"/>
        </w:rPr>
        <w:t>因下列情形</w:t>
      </w:r>
      <w:r>
        <w:rPr>
          <w:rFonts w:ascii="宋体" w:hAnsi="宋体"/>
        </w:rPr>
        <w:t>之一，</w:t>
      </w:r>
      <w:r>
        <w:rPr>
          <w:rFonts w:hint="eastAsia" w:ascii="宋体" w:hAnsi="宋体"/>
        </w:rPr>
        <w:t>导致被保险人身故或伤残的，保险人不承担给付保险金的责任</w:t>
      </w:r>
      <w:r>
        <w:rPr>
          <w:rFonts w:hint="eastAsia"/>
          <w:color w:val="auto"/>
        </w:rPr>
        <w:t>：</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24"/>
        <w:numPr>
          <w:ilvl w:val="0"/>
          <w:numId w:val="16"/>
        </w:numPr>
        <w:ind w:left="425" w:leftChars="0" w:hanging="425"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被保险人因挑衅或故意行为而导致的打斗、被袭击或被谋杀；</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被保险人妊娠、流产、分娩；</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被保险人接受包括美容、整容、整形手术在内的任何医疗行为而造成的意外；</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疾病，包括但不限于高原反应、中暑、猝死；</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非因意外伤害导致的细菌、病毒或其他病原体导致的感染；</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过敏及由过敏引发的变态反应性疾病；</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被保险人存在精神和行为障碍（以世界卫生组织颁布的《疾病和有关健康问题的国际统计分类（ICD-10）》第十次修订版确定为准）</w:t>
      </w:r>
      <w:r>
        <w:rPr>
          <w:rFonts w:asciiTheme="minorEastAsia" w:hAnsiTheme="minorEastAsia" w:eastAsiaTheme="minorEastAsia"/>
          <w:b/>
        </w:rPr>
        <w:t>；</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被保险人酒后驾驶（见释义）、无合法有效驾驶证驾驶或驾驶无合法有效行驶证的机动交通工具</w:t>
      </w:r>
      <w:bookmarkStart w:id="4" w:name="_2.2.2_被保险人不符合入院标准、挂床住院或住院病人应当出院而拒不出"/>
      <w:bookmarkEnd w:id="4"/>
      <w:r>
        <w:rPr>
          <w:rFonts w:hint="eastAsia" w:asciiTheme="minorEastAsia" w:hAnsiTheme="minorEastAsia" w:eastAsiaTheme="minorEastAsia"/>
          <w:b/>
        </w:rPr>
        <w:t>；</w:t>
      </w:r>
    </w:p>
    <w:p>
      <w:pPr>
        <w:pStyle w:val="24"/>
        <w:numPr>
          <w:ilvl w:val="0"/>
          <w:numId w:val="16"/>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被保险人从事高风险运动，但被保险人作为专业运动员从事其专业运动不在此限。</w:t>
      </w:r>
    </w:p>
    <w:p>
      <w:pPr>
        <w:numPr>
          <w:ilvl w:val="0"/>
          <w:numId w:val="12"/>
        </w:numPr>
        <w:tabs>
          <w:tab w:val="left" w:pos="640"/>
        </w:tabs>
        <w:ind w:left="420"/>
        <w:jc w:val="left"/>
        <w:rPr>
          <w:rFonts w:asciiTheme="minorEastAsia" w:hAnsiTheme="minorEastAsia"/>
        </w:rPr>
      </w:pPr>
      <w:r>
        <w:rPr>
          <w:rFonts w:asciiTheme="minorEastAsia" w:hAnsiTheme="minorEastAsia"/>
        </w:rPr>
        <w:t>理赔流程</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或中国人民财产保险股份有限公司深圳市分公司客服热线0755-95518</w:t>
      </w:r>
      <w:r>
        <w:rPr>
          <w:rFonts w:hint="eastAsia" w:asciiTheme="minorEastAsia" w:hAnsiTheme="minorEastAsia"/>
        </w:rPr>
        <w:t>；</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理赔材料通过邮寄方式提交；</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判断确属保险责任范围，在结案后10个工作日内</w:t>
      </w:r>
      <w:r>
        <w:rPr>
          <w:rFonts w:hint="eastAsia" w:asciiTheme="minorEastAsia" w:hAnsiTheme="minorEastAsia"/>
          <w:lang w:val="en-US" w:eastAsia="zh-CN"/>
        </w:rPr>
        <w:t>理赔</w:t>
      </w:r>
      <w:r>
        <w:rPr>
          <w:rFonts w:hint="eastAsia" w:asciiTheme="minorEastAsia" w:hAnsiTheme="minorEastAsia"/>
        </w:rPr>
        <w:t>；</w:t>
      </w:r>
    </w:p>
    <w:p>
      <w:pPr>
        <w:pStyle w:val="20"/>
        <w:numPr>
          <w:ilvl w:val="0"/>
          <w:numId w:val="17"/>
        </w:numPr>
        <w:ind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12"/>
        </w:numPr>
        <w:tabs>
          <w:tab w:val="left" w:pos="640"/>
        </w:tabs>
        <w:ind w:left="420"/>
        <w:jc w:val="left"/>
        <w:rPr>
          <w:rFonts w:asciiTheme="minorEastAsia" w:hAnsiTheme="minorEastAsia"/>
        </w:rPr>
      </w:pPr>
      <w:r>
        <w:rPr>
          <w:rFonts w:asciiTheme="minorEastAsia" w:hAnsiTheme="minorEastAsia"/>
        </w:rPr>
        <w:t>理赔</w:t>
      </w:r>
      <w:r>
        <w:rPr>
          <w:rFonts w:hint="eastAsia" w:asciiTheme="minorEastAsia" w:hAnsiTheme="minorEastAsia"/>
        </w:rPr>
        <w:t>资料</w:t>
      </w:r>
    </w:p>
    <w:p>
      <w:pPr>
        <w:pStyle w:val="20"/>
        <w:numPr>
          <w:ilvl w:val="0"/>
          <w:numId w:val="0"/>
        </w:numPr>
        <w:tabs>
          <w:tab w:val="left" w:pos="312"/>
          <w:tab w:val="left" w:pos="640"/>
        </w:tabs>
        <w:ind w:left="420" w:firstLineChars="0"/>
        <w:jc w:val="left"/>
        <w:rPr>
          <w:rFonts w:asciiTheme="minorEastAsia" w:hAnsiTheme="minorEastAsia"/>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20"/>
        <w:numPr>
          <w:ilvl w:val="-1"/>
          <w:numId w:val="0"/>
        </w:numPr>
        <w:ind w:left="420" w:firstLine="0" w:firstLineChars="0"/>
        <w:jc w:val="left"/>
        <w:rPr>
          <w:rFonts w:asciiTheme="minorEastAsia" w:hAnsiTheme="minorEastAsia"/>
        </w:rPr>
      </w:pPr>
      <w:r>
        <w:rPr>
          <w:rFonts w:hint="eastAsia" w:asciiTheme="minorEastAsia" w:hAnsiTheme="minorEastAsia"/>
          <w:b/>
          <w:bCs/>
        </w:rPr>
        <w:t>意外身故保险金申请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保险金申请人填具的索赔申请书；</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保险单或其他保险凭证正本；</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保险金申请人的身份证明；</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公安部门或司法部门、二级以上（含二级）医院或保险</w:t>
      </w:r>
      <w:bookmarkStart w:id="5" w:name="_Hlk122353304"/>
      <w:r>
        <w:rPr>
          <w:rFonts w:hint="eastAsia" w:asciiTheme="minorEastAsia" w:hAnsiTheme="minorEastAsia"/>
        </w:rPr>
        <w:t>公司</w:t>
      </w:r>
      <w:bookmarkEnd w:id="5"/>
      <w:r>
        <w:rPr>
          <w:rFonts w:hint="eastAsia" w:asciiTheme="minorEastAsia" w:hAnsiTheme="minorEastAsia"/>
        </w:rPr>
        <w:t>认可的医疗机构出具的被保险人死亡证明或验尸报告。若被保险人为宣告死亡，保险金申请人应提供人民法院出具的宣告死亡证明文件；</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被保险人的户籍注销证明；</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r>
        <w:rPr>
          <w:rFonts w:hint="eastAsia" w:asciiTheme="minorEastAsia" w:hAnsiTheme="minorEastAsia"/>
          <w:lang w:eastAsia="zh-CN"/>
        </w:rPr>
        <w:t>；</w:t>
      </w:r>
    </w:p>
    <w:p>
      <w:pPr>
        <w:pStyle w:val="20"/>
        <w:numPr>
          <w:ilvl w:val="0"/>
          <w:numId w:val="18"/>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pStyle w:val="20"/>
        <w:numPr>
          <w:ilvl w:val="-1"/>
          <w:numId w:val="0"/>
        </w:numPr>
        <w:ind w:left="420" w:firstLine="0" w:firstLineChars="0"/>
        <w:jc w:val="left"/>
        <w:rPr>
          <w:rFonts w:asciiTheme="minorEastAsia" w:hAnsiTheme="minorEastAsia"/>
        </w:rPr>
      </w:pPr>
      <w:r>
        <w:rPr>
          <w:rFonts w:hint="eastAsia" w:asciiTheme="minorEastAsia" w:hAnsiTheme="minorEastAsia"/>
          <w:b/>
          <w:bCs/>
        </w:rPr>
        <w:t>意外残疾保险金申请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保险金申请人填具的索赔申请书；</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保险单或其他保险凭证正本；</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被保险人身份证明；</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司法鉴定机构根据《残疾评定行业标准》出具的被保险人身体伤残程度评定书；</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保险金申请人所能提供的其他与本项申请相关的材料</w:t>
      </w:r>
      <w:r>
        <w:rPr>
          <w:rFonts w:hint="eastAsia" w:asciiTheme="minorEastAsia" w:hAnsiTheme="minorEastAsia"/>
          <w:lang w:eastAsia="zh-CN"/>
        </w:rPr>
        <w:t>；</w:t>
      </w:r>
    </w:p>
    <w:p>
      <w:pPr>
        <w:pStyle w:val="20"/>
        <w:numPr>
          <w:ilvl w:val="0"/>
          <w:numId w:val="19"/>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5"/>
        <w:tabs>
          <w:tab w:val="left" w:pos="945"/>
          <w:tab w:val="clear" w:pos="1050"/>
        </w:tabs>
        <w:ind w:firstLine="422" w:firstLineChars="200"/>
        <w:rPr>
          <w:rFonts w:hint="default" w:eastAsiaTheme="minorEastAsia"/>
          <w:color w:val="auto"/>
          <w:lang w:val="en-US" w:eastAsia="zh-CN"/>
        </w:rPr>
      </w:pPr>
      <w:r>
        <w:rPr>
          <w:rFonts w:hint="eastAsia"/>
          <w:color w:val="auto"/>
        </w:rPr>
        <w:t>意外身故保险金申请</w:t>
      </w:r>
      <w:r>
        <w:rPr>
          <w:rFonts w:hint="eastAsia"/>
          <w:color w:val="auto"/>
          <w:lang w:val="en-US" w:eastAsia="zh-CN"/>
        </w:rPr>
        <w:t>所需材料：</w:t>
      </w:r>
    </w:p>
    <w:p>
      <w:pPr>
        <w:pStyle w:val="24"/>
        <w:numPr>
          <w:ilvl w:val="0"/>
          <w:numId w:val="20"/>
        </w:numPr>
        <w:ind w:left="425" w:leftChars="0" w:hanging="425" w:firstLineChars="0"/>
        <w:rPr>
          <w:rFonts w:ascii="宋体" w:hAnsi="宋体"/>
          <w:szCs w:val="21"/>
        </w:rPr>
      </w:pPr>
      <w:r>
        <w:rPr>
          <w:rFonts w:hint="eastAsia" w:ascii="宋体" w:hAnsi="宋体"/>
          <w:szCs w:val="21"/>
        </w:rPr>
        <w:t>保险金给付申请书；</w:t>
      </w:r>
    </w:p>
    <w:p>
      <w:pPr>
        <w:pStyle w:val="24"/>
        <w:numPr>
          <w:ilvl w:val="0"/>
          <w:numId w:val="20"/>
        </w:numPr>
        <w:ind w:left="425" w:leftChars="0" w:hanging="425" w:firstLineChars="0"/>
        <w:rPr>
          <w:rFonts w:ascii="宋体" w:hAnsi="宋体"/>
          <w:szCs w:val="21"/>
        </w:rPr>
      </w:pPr>
      <w:r>
        <w:rPr>
          <w:rFonts w:hint="eastAsia" w:ascii="宋体" w:hAnsi="宋体"/>
          <w:szCs w:val="21"/>
        </w:rPr>
        <w:t>保险金申请人的身份证明；</w:t>
      </w:r>
    </w:p>
    <w:p>
      <w:pPr>
        <w:pStyle w:val="24"/>
        <w:numPr>
          <w:ilvl w:val="0"/>
          <w:numId w:val="20"/>
        </w:numPr>
        <w:ind w:left="425" w:leftChars="0" w:hanging="425" w:firstLineChars="0"/>
        <w:rPr>
          <w:rFonts w:ascii="宋体" w:hAnsi="宋体"/>
          <w:szCs w:val="21"/>
        </w:rPr>
      </w:pPr>
      <w:r>
        <w:rPr>
          <w:rFonts w:hint="eastAsia" w:ascii="宋体" w:hAnsi="宋体"/>
          <w:szCs w:val="21"/>
        </w:rPr>
        <w:t>公安机关或司法部门、二级及二级以上医院或保险人认可的医疗机构出具的被保险人死亡证明或验尸报告。若被保险人为宣告死亡，保险金申请人应提供法院出具的宣告死亡证明文件；</w:t>
      </w:r>
    </w:p>
    <w:p>
      <w:pPr>
        <w:pStyle w:val="24"/>
        <w:numPr>
          <w:ilvl w:val="0"/>
          <w:numId w:val="20"/>
        </w:numPr>
        <w:ind w:left="425" w:leftChars="0" w:hanging="425" w:firstLineChars="0"/>
        <w:rPr>
          <w:rFonts w:ascii="宋体" w:hAnsi="宋体"/>
          <w:szCs w:val="21"/>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20"/>
        </w:numPr>
        <w:ind w:left="425" w:leftChars="0" w:hanging="425" w:firstLineChars="0"/>
        <w:rPr>
          <w:rFonts w:ascii="宋体" w:hAnsi="宋体"/>
          <w:szCs w:val="21"/>
        </w:rPr>
      </w:pPr>
      <w:r>
        <w:rPr>
          <w:rFonts w:hint="eastAsia" w:asciiTheme="minorEastAsia" w:hAnsiTheme="minorEastAsia"/>
        </w:rPr>
        <w:t>卡中心或保险公司认为必要的其他相关资料</w:t>
      </w:r>
      <w:r>
        <w:rPr>
          <w:rFonts w:hint="eastAsia" w:ascii="宋体" w:hAnsi="宋体"/>
          <w:szCs w:val="21"/>
        </w:rPr>
        <w:t>。</w:t>
      </w:r>
    </w:p>
    <w:p>
      <w:pPr>
        <w:pStyle w:val="5"/>
        <w:tabs>
          <w:tab w:val="left" w:pos="945"/>
          <w:tab w:val="clear" w:pos="1050"/>
        </w:tabs>
        <w:ind w:firstLine="422" w:firstLineChars="200"/>
        <w:rPr>
          <w:rFonts w:hint="default" w:ascii="宋体" w:hAnsi="宋体" w:eastAsiaTheme="minorEastAsia"/>
          <w:lang w:val="en-US" w:eastAsia="zh-CN"/>
        </w:rPr>
      </w:pPr>
      <w:r>
        <w:rPr>
          <w:rFonts w:hint="eastAsia"/>
          <w:color w:val="auto"/>
        </w:rPr>
        <w:t>意外伤残保险金申请</w:t>
      </w:r>
      <w:r>
        <w:rPr>
          <w:rFonts w:hint="eastAsia"/>
          <w:color w:val="auto"/>
          <w:lang w:val="en-US" w:eastAsia="zh-CN"/>
        </w:rPr>
        <w:t>所需材料：</w:t>
      </w:r>
    </w:p>
    <w:p>
      <w:pPr>
        <w:pStyle w:val="24"/>
        <w:numPr>
          <w:ilvl w:val="0"/>
          <w:numId w:val="21"/>
        </w:numPr>
        <w:ind w:left="425" w:leftChars="0" w:hanging="425" w:firstLineChars="0"/>
        <w:rPr>
          <w:rFonts w:ascii="宋体" w:hAnsi="宋体"/>
          <w:szCs w:val="21"/>
        </w:rPr>
      </w:pPr>
      <w:r>
        <w:rPr>
          <w:rFonts w:hint="eastAsia" w:ascii="宋体" w:hAnsi="宋体"/>
          <w:szCs w:val="21"/>
        </w:rPr>
        <w:t>保险金给付申请书；</w:t>
      </w:r>
    </w:p>
    <w:p>
      <w:pPr>
        <w:pStyle w:val="24"/>
        <w:numPr>
          <w:ilvl w:val="0"/>
          <w:numId w:val="21"/>
        </w:numPr>
        <w:ind w:left="425" w:leftChars="0" w:hanging="425" w:firstLineChars="0"/>
        <w:rPr>
          <w:rFonts w:ascii="宋体" w:hAnsi="宋体"/>
          <w:szCs w:val="21"/>
        </w:rPr>
      </w:pPr>
      <w:r>
        <w:rPr>
          <w:rFonts w:hint="eastAsia" w:ascii="宋体" w:hAnsi="宋体"/>
          <w:szCs w:val="21"/>
        </w:rPr>
        <w:t>保险金申请人、被保险人身份证明；</w:t>
      </w:r>
    </w:p>
    <w:p>
      <w:pPr>
        <w:pStyle w:val="24"/>
        <w:numPr>
          <w:ilvl w:val="0"/>
          <w:numId w:val="21"/>
        </w:numPr>
        <w:ind w:left="425" w:leftChars="0" w:hanging="425" w:firstLineChars="0"/>
        <w:rPr>
          <w:rFonts w:ascii="宋体" w:hAnsi="宋体"/>
          <w:szCs w:val="21"/>
        </w:rPr>
      </w:pPr>
      <w:r>
        <w:t>司法部门或保险人认可的鉴定机构出具的伤残</w:t>
      </w:r>
      <w:r>
        <w:rPr>
          <w:rFonts w:hint="eastAsia"/>
        </w:rPr>
        <w:t>等级</w:t>
      </w:r>
      <w:r>
        <w:t>鉴定书</w:t>
      </w:r>
      <w:r>
        <w:rPr>
          <w:rFonts w:hint="eastAsia"/>
        </w:rPr>
        <w:t>；</w:t>
      </w:r>
    </w:p>
    <w:p>
      <w:pPr>
        <w:pStyle w:val="24"/>
        <w:numPr>
          <w:ilvl w:val="0"/>
          <w:numId w:val="21"/>
        </w:numPr>
        <w:ind w:left="425" w:leftChars="0" w:hanging="425" w:firstLineChars="0"/>
        <w:rPr>
          <w:rFonts w:hint="eastAsia" w:asciiTheme="minorEastAsia" w:hAnsiTheme="minorEastAsia"/>
          <w:b/>
          <w:bCs/>
          <w:lang w:val="en-US" w:eastAsia="zh-CN"/>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21"/>
        </w:numPr>
        <w:ind w:left="425" w:leftChars="0" w:hanging="425" w:firstLineChars="0"/>
        <w:rPr>
          <w:rFonts w:hint="eastAsia" w:asciiTheme="minorEastAsia" w:hAnsiTheme="minorEastAsia"/>
          <w:b/>
          <w:bCs/>
          <w:lang w:val="en-US" w:eastAsia="zh-CN"/>
        </w:rPr>
      </w:pPr>
      <w:r>
        <w:rPr>
          <w:rFonts w:hint="eastAsia" w:asciiTheme="minorEastAsia" w:hAnsiTheme="minorEastAsia"/>
        </w:rPr>
        <w:t>卡中心或保险公司认为必要的其他相关资料</w:t>
      </w:r>
      <w:r>
        <w:rPr>
          <w:rFonts w:hint="eastAsia" w:ascii="宋体" w:hAnsi="宋体"/>
          <w:szCs w:val="21"/>
        </w:rPr>
        <w:t>。</w:t>
      </w:r>
    </w:p>
    <w:p>
      <w:pPr>
        <w:pStyle w:val="24"/>
        <w:numPr>
          <w:ilvl w:val="-1"/>
          <w:numId w:val="0"/>
        </w:numPr>
        <w:ind w:left="0" w:leftChars="0" w:firstLine="0" w:firstLineChars="0"/>
        <w:rPr>
          <w:rFonts w:hint="eastAsia" w:asciiTheme="minorEastAsia" w:hAnsiTheme="minorEastAsia"/>
          <w:b/>
          <w:bCs/>
          <w:lang w:val="en-US" w:eastAsia="zh-CN"/>
        </w:rPr>
      </w:pPr>
    </w:p>
    <w:p>
      <w:pPr>
        <w:ind w:firstLine="422" w:firstLineChars="200"/>
        <w:jc w:val="left"/>
        <w:rPr>
          <w:rFonts w:hint="eastAsia" w:asciiTheme="minorEastAsia" w:hAnsiTheme="minorEastAsia"/>
          <w:b/>
          <w:bCs/>
        </w:rPr>
      </w:pPr>
      <w:r>
        <w:rPr>
          <w:rFonts w:hint="eastAsia" w:asciiTheme="minorEastAsia" w:hAnsiTheme="minorEastAsia"/>
          <w:b/>
          <w:bCs/>
          <w:lang w:val="en-US" w:eastAsia="zh-CN"/>
        </w:rPr>
        <w:t>注：上述</w:t>
      </w:r>
      <w:r>
        <w:rPr>
          <w:rFonts w:hint="default" w:ascii="Calibri" w:hAnsi="Calibri" w:cs="Calibri"/>
          <w:b/>
          <w:bCs/>
          <w:lang w:val="en-US" w:eastAsia="zh-CN"/>
        </w:rPr>
        <w:t>①②</w:t>
      </w:r>
      <w:r>
        <w:rPr>
          <w:rFonts w:hint="eastAsia" w:asciiTheme="minorEastAsia" w:hAnsiTheme="minorEastAsia"/>
          <w:b/>
          <w:bCs/>
          <w:lang w:val="en-US" w:eastAsia="zh-CN"/>
        </w:rPr>
        <w:t>理赔申请中，</w:t>
      </w:r>
      <w:r>
        <w:rPr>
          <w:rFonts w:hint="eastAsia" w:asciiTheme="minorEastAsia" w:hAnsiTheme="minorEastAsia"/>
          <w:b/>
          <w:bCs/>
        </w:rPr>
        <w:t>被保险人继承人作为</w:t>
      </w:r>
      <w:r>
        <w:rPr>
          <w:rFonts w:hint="eastAsia" w:asciiTheme="minorEastAsia" w:hAnsiTheme="minorEastAsia"/>
          <w:b/>
          <w:bCs/>
          <w:lang w:val="en-US" w:eastAsia="zh-CN"/>
        </w:rPr>
        <w:t>保险金</w:t>
      </w:r>
      <w:r>
        <w:rPr>
          <w:rFonts w:hint="eastAsia" w:asciiTheme="minorEastAsia" w:hAnsiTheme="minorEastAsia"/>
          <w:b/>
          <w:bCs/>
        </w:rPr>
        <w:t>申请人索赔时，需提供公证机构出具的证明其具备继承权及所享份额等事宜的公证文件。</w:t>
      </w:r>
    </w:p>
    <w:p>
      <w:pPr>
        <w:pStyle w:val="24"/>
        <w:numPr>
          <w:ilvl w:val="-1"/>
          <w:numId w:val="0"/>
        </w:numPr>
        <w:ind w:left="0" w:leftChars="0" w:firstLine="0" w:firstLineChars="0"/>
        <w:rPr>
          <w:rFonts w:hint="eastAsia" w:asciiTheme="minorEastAsia" w:hAnsiTheme="minorEastAsia"/>
          <w:b/>
          <w:bCs/>
          <w:lang w:val="en-US" w:eastAsia="zh-CN"/>
        </w:rPr>
      </w:pPr>
    </w:p>
    <w:p>
      <w:pPr>
        <w:numPr>
          <w:ilvl w:val="0"/>
          <w:numId w:val="3"/>
        </w:numPr>
        <w:tabs>
          <w:tab w:val="left" w:pos="640"/>
        </w:tabs>
        <w:jc w:val="left"/>
        <w:rPr>
          <w:rFonts w:asciiTheme="minorEastAsia" w:hAnsiTheme="minorEastAsia"/>
          <w:b/>
          <w:bCs/>
        </w:rPr>
      </w:pPr>
      <w:r>
        <w:rPr>
          <w:rFonts w:hint="eastAsia" w:asciiTheme="minorEastAsia" w:hAnsiTheme="minorEastAsia"/>
          <w:b/>
          <w:bCs/>
        </w:rPr>
        <w:t>疫苗接种意外保险服务内容(附赠保险权益)</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该保险服务为卡中心赠送给主持卡人的保险权益。投保人为卡中心、被保险人为订购“如意宝”增值服务产品且保险权益已生效的持卡人。承保公司为太平财产保险有限公司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2024年8月9日0:00之前的订单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在2024年8月9日0:00之后的订单含续费订单</w:t>
      </w:r>
      <w:r>
        <w:rPr>
          <w:rFonts w:hint="eastAsia" w:asciiTheme="minorEastAsia" w:hAnsiTheme="minorEastAsia"/>
          <w:b/>
          <w:bCs/>
          <w:lang w:val="en-US" w:eastAsia="zh-CN"/>
        </w:rPr>
        <w:t>）</w:t>
      </w:r>
      <w:r>
        <w:rPr>
          <w:rFonts w:hint="eastAsia" w:asciiTheme="minorEastAsia" w:hAnsiTheme="minorEastAsia"/>
          <w:b/>
          <w:bCs/>
        </w:rPr>
        <w:t>。该保险合同为团体保险合同，持卡人可致电太平财产保险有限公司客服热线</w:t>
      </w:r>
      <w:r>
        <w:rPr>
          <w:rFonts w:asciiTheme="minorEastAsia" w:hAnsiTheme="minorEastAsia"/>
          <w:b/>
          <w:bCs/>
        </w:rPr>
        <w:t>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rPr>
        <w:t>查询或申请保险凭证。</w:t>
      </w:r>
    </w:p>
    <w:p>
      <w:pPr>
        <w:numPr>
          <w:ilvl w:val="0"/>
          <w:numId w:val="22"/>
        </w:numPr>
        <w:tabs>
          <w:tab w:val="left" w:pos="640"/>
        </w:tabs>
        <w:ind w:left="420"/>
        <w:jc w:val="left"/>
        <w:rPr>
          <w:rFonts w:hint="eastAsia" w:asciiTheme="minorEastAsia" w:hAnsiTheme="minorEastAsia"/>
          <w:b/>
          <w:bCs/>
        </w:rPr>
      </w:pPr>
      <w:r>
        <w:rPr>
          <w:rFonts w:hint="eastAsia" w:asciiTheme="minorEastAsia" w:hAnsiTheme="minorEastAsia"/>
          <w:b/>
          <w:bCs/>
        </w:rPr>
        <w:t>保障金额</w:t>
      </w:r>
    </w:p>
    <w:p>
      <w:pPr>
        <w:numPr>
          <w:ilvl w:val="-1"/>
          <w:numId w:val="0"/>
        </w:numPr>
        <w:ind w:left="0" w:firstLine="420" w:firstLineChars="200"/>
        <w:jc w:val="left"/>
        <w:rPr>
          <w:rFonts w:asciiTheme="minorEastAsia" w:hAnsiTheme="minorEastAsia"/>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p>
      <w:pPr>
        <w:numPr>
          <w:ilvl w:val="-1"/>
          <w:numId w:val="0"/>
        </w:numPr>
        <w:tabs>
          <w:tab w:val="left" w:pos="640"/>
        </w:tabs>
        <w:ind w:left="0"/>
        <w:jc w:val="left"/>
        <w:rPr>
          <w:rFonts w:asciiTheme="minorEastAsia" w:hAnsiTheme="minorEastAsia"/>
        </w:rPr>
      </w:pPr>
    </w:p>
    <w:tbl>
      <w:tblPr>
        <w:tblStyle w:val="13"/>
        <w:tblW w:w="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如意宝A</w:t>
            </w:r>
          </w:p>
        </w:tc>
        <w:tc>
          <w:tcPr>
            <w:tcW w:w="2715" w:type="dxa"/>
          </w:tcPr>
          <w:p>
            <w:pPr>
              <w:tabs>
                <w:tab w:val="left" w:pos="640"/>
              </w:tabs>
              <w:jc w:val="center"/>
              <w:rPr>
                <w:rFonts w:asciiTheme="minorEastAsia" w:hAnsiTheme="minorEastAsia"/>
              </w:rPr>
            </w:pPr>
            <w:r>
              <w:rPr>
                <w:rFonts w:asciiTheme="minorEastAsia" w:hAnsiTheme="minorEastAsia"/>
              </w:rPr>
              <w:t>10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如意宝B</w:t>
            </w:r>
          </w:p>
        </w:tc>
        <w:tc>
          <w:tcPr>
            <w:tcW w:w="2715" w:type="dxa"/>
          </w:tcPr>
          <w:p>
            <w:pPr>
              <w:tabs>
                <w:tab w:val="left" w:pos="640"/>
              </w:tabs>
              <w:jc w:val="center"/>
              <w:rPr>
                <w:rFonts w:asciiTheme="minorEastAsia" w:hAnsiTheme="minorEastAsia"/>
              </w:rPr>
            </w:pPr>
            <w:r>
              <w:rPr>
                <w:rFonts w:asciiTheme="minorEastAsia" w:hAnsiTheme="minorEastAsia"/>
              </w:rPr>
              <w:t>20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如意宝C</w:t>
            </w:r>
          </w:p>
        </w:tc>
        <w:tc>
          <w:tcPr>
            <w:tcW w:w="2715" w:type="dxa"/>
          </w:tcPr>
          <w:p>
            <w:pPr>
              <w:tabs>
                <w:tab w:val="left" w:pos="640"/>
              </w:tabs>
              <w:jc w:val="center"/>
              <w:rPr>
                <w:rFonts w:asciiTheme="minorEastAsia" w:hAnsiTheme="minorEastAsia"/>
              </w:rPr>
            </w:pPr>
            <w:r>
              <w:rPr>
                <w:rFonts w:hint="eastAsia" w:asciiTheme="minorEastAsia" w:hAnsiTheme="minorEastAsia"/>
              </w:rPr>
              <w:t>2</w:t>
            </w:r>
            <w:r>
              <w:rPr>
                <w:rFonts w:asciiTheme="minorEastAsia" w:hAnsiTheme="minorEastAsia"/>
              </w:rPr>
              <w:t>0</w:t>
            </w:r>
            <w:r>
              <w:rPr>
                <w:rFonts w:hint="eastAsia" w:asciiTheme="minorEastAsia" w:hAnsiTheme="minorEastAsia"/>
              </w:rPr>
              <w:t>万元</w:t>
            </w:r>
          </w:p>
        </w:tc>
      </w:tr>
    </w:tbl>
    <w:p>
      <w:pPr>
        <w:numPr>
          <w:ilvl w:val="0"/>
          <w:numId w:val="22"/>
        </w:numPr>
        <w:tabs>
          <w:tab w:val="left" w:pos="640"/>
        </w:tabs>
        <w:ind w:left="420"/>
        <w:jc w:val="left"/>
        <w:rPr>
          <w:rFonts w:asciiTheme="minorEastAsia" w:hAnsiTheme="minorEastAsia"/>
          <w:b/>
          <w:bCs/>
        </w:rPr>
      </w:pPr>
      <w:r>
        <w:rPr>
          <w:rFonts w:hint="eastAsia" w:asciiTheme="minorEastAsia" w:hAnsiTheme="minorEastAsia"/>
          <w:b/>
          <w:bCs/>
          <w:lang w:val="en-US" w:eastAsia="zh-CN"/>
        </w:rPr>
        <w:t>保障责任</w:t>
      </w:r>
    </w:p>
    <w:p>
      <w:pPr>
        <w:numPr>
          <w:ilvl w:val="-1"/>
          <w:numId w:val="0"/>
        </w:numPr>
        <w:tabs>
          <w:tab w:val="left" w:pos="640"/>
        </w:tabs>
        <w:ind w:left="0" w:firstLine="420" w:firstLineChars="200"/>
        <w:jc w:val="left"/>
        <w:rPr>
          <w:rFonts w:asciiTheme="minorEastAsia" w:hAnsiTheme="minorEastAsia"/>
          <w:b/>
          <w:bCs/>
        </w:rPr>
      </w:pPr>
      <w:r>
        <w:rPr>
          <w:rFonts w:hint="eastAsia" w:asciiTheme="minorEastAsia" w:hAnsiTheme="minorEastAsia"/>
        </w:rPr>
        <w:t>凡订购“如意宝”优选增值服务产品的持卡人，</w:t>
      </w:r>
      <w:r>
        <w:rPr>
          <w:rFonts w:hint="eastAsia" w:ascii="宋体" w:hAnsi="宋体" w:cs="宋体"/>
          <w:szCs w:val="21"/>
          <w:highlight w:val="none"/>
        </w:rPr>
        <w:t>在保障权益生效后，</w:t>
      </w:r>
      <w:r>
        <w:rPr>
          <w:rFonts w:hint="eastAsia" w:asciiTheme="minorEastAsia" w:hAnsiTheme="minorEastAsia"/>
        </w:rPr>
        <w:t>如在经人民政府卫生主管部门指定的医疗卫生机构接种正规疫苗后，发生预防接种不良反应或偶合反应，达到伤残等级标准或身故，可按照约定的10/20万元的保障金额给付保险金。</w:t>
      </w:r>
    </w:p>
    <w:p>
      <w:pPr>
        <w:numPr>
          <w:ilvl w:val="0"/>
          <w:numId w:val="22"/>
        </w:numPr>
        <w:tabs>
          <w:tab w:val="left" w:pos="640"/>
        </w:tabs>
        <w:ind w:left="420"/>
        <w:jc w:val="left"/>
        <w:rPr>
          <w:rFonts w:asciiTheme="minorEastAsia" w:hAnsiTheme="minorEastAsia"/>
          <w:b/>
          <w:bCs/>
        </w:rPr>
      </w:pP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cstheme="minorBidi"/>
          <w:b/>
          <w:bCs/>
          <w:sz w:val="21"/>
          <w:szCs w:val="24"/>
          <w:lang w:val="en-US" w:eastAsia="zh-CN"/>
        </w:rPr>
        <w:t>2024年8月9日0:00之前的订单所适用的保险条款如下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《太平财产保险有限公司疫苗接种意外伤害保险条款》注册号【</w:t>
      </w:r>
      <w:r>
        <w:rPr>
          <w:rFonts w:asciiTheme="minorEastAsia" w:hAnsiTheme="minorEastAsia"/>
          <w:b/>
          <w:bCs/>
        </w:rPr>
        <w:t>H00002632312016120552141</w:t>
      </w:r>
      <w:r>
        <w:rPr>
          <w:rFonts w:hint="eastAsia" w:asciiTheme="minorEastAsia" w:hAnsiTheme="minorEastAsia"/>
          <w:b/>
          <w:bCs/>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《太平财产保险股份有限公司附加超龄人员扩展条款（2011版）（扩展）》注册号【</w:t>
      </w:r>
      <w:r>
        <w:rPr>
          <w:rFonts w:asciiTheme="minorEastAsia" w:hAnsiTheme="minorEastAsia"/>
          <w:b/>
          <w:bCs/>
        </w:rPr>
        <w:t>H00002632322017052347511</w:t>
      </w:r>
      <w:r>
        <w:rPr>
          <w:rFonts w:hint="eastAsia" w:asciiTheme="minorEastAsia" w:hAnsiTheme="minorEastAsia"/>
          <w:b/>
          <w:bCs/>
        </w:rPr>
        <w:t>】</w:t>
      </w:r>
    </w:p>
    <w:p>
      <w:pPr>
        <w:pStyle w:val="10"/>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在2024年8月9日0:00之后的订单（含续费订单）所适用的保险条款如下</w:t>
      </w:r>
      <w:r>
        <w:rPr>
          <w:rFonts w:hint="eastAsia" w:asciiTheme="minorEastAsia" w:hAnsiTheme="minorEastAsia"/>
          <w:b/>
          <w:bCs/>
          <w:lang w:val="en-US" w:eastAsia="zh-CN"/>
        </w:rPr>
        <w:t>：</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eastAsia="zh-CN"/>
        </w:rPr>
        <w:t>《</w:t>
      </w:r>
      <w:r>
        <w:rPr>
          <w:rFonts w:hint="eastAsia" w:asciiTheme="minorEastAsia" w:hAnsiTheme="minorEastAsia"/>
          <w:b/>
          <w:bCs/>
        </w:rPr>
        <w:t>中国人民财产保险股份有限公司预防接种医疗意外保险条款</w:t>
      </w:r>
      <w:r>
        <w:rPr>
          <w:rFonts w:hint="eastAsia" w:asciiTheme="minorEastAsia" w:hAnsiTheme="minorEastAsia"/>
          <w:b/>
          <w:bCs/>
          <w:lang w:eastAsia="zh-CN"/>
        </w:rPr>
        <w:t>》</w:t>
      </w:r>
      <w:r>
        <w:rPr>
          <w:rFonts w:hint="eastAsia" w:asciiTheme="minorEastAsia" w:hAnsiTheme="minorEastAsia"/>
          <w:b/>
          <w:bCs/>
        </w:rPr>
        <w:t>注册号</w:t>
      </w:r>
      <w:r>
        <w:rPr>
          <w:rFonts w:hint="eastAsia" w:asciiTheme="minorEastAsia" w:hAnsiTheme="minorEastAsia"/>
          <w:b/>
          <w:bCs/>
          <w:lang w:eastAsia="zh-CN"/>
        </w:rPr>
        <w:t>【</w:t>
      </w:r>
      <w:r>
        <w:rPr>
          <w:rFonts w:hint="eastAsia" w:asciiTheme="minorEastAsia" w:hAnsiTheme="minorEastAsia"/>
          <w:b/>
          <w:bCs/>
        </w:rPr>
        <w:t>C000002134012020051200831</w:t>
      </w:r>
      <w:r>
        <w:rPr>
          <w:rFonts w:hint="eastAsia" w:asciiTheme="minorEastAsia" w:hAnsiTheme="minorEastAsia"/>
          <w:b/>
          <w:bCs/>
          <w:lang w:eastAsia="zh-CN"/>
        </w:rPr>
        <w:t>】</w:t>
      </w:r>
    </w:p>
    <w:p>
      <w:pPr>
        <w:numPr>
          <w:ilvl w:val="0"/>
          <w:numId w:val="22"/>
        </w:numPr>
        <w:tabs>
          <w:tab w:val="left" w:pos="640"/>
        </w:tabs>
        <w:ind w:left="420"/>
        <w:jc w:val="left"/>
        <w:rPr>
          <w:rFonts w:asciiTheme="minorEastAsia" w:hAnsiTheme="minorEastAsia"/>
          <w:b/>
          <w:bCs/>
        </w:rPr>
      </w:pPr>
      <w:r>
        <w:rPr>
          <w:rFonts w:hint="eastAsia" w:asciiTheme="minorEastAsia" w:hAnsiTheme="minorEastAsia"/>
          <w:b/>
          <w:bCs/>
        </w:rPr>
        <w:t>责任免除条款</w:t>
      </w:r>
    </w:p>
    <w:p>
      <w:pPr>
        <w:pStyle w:val="20"/>
        <w:numPr>
          <w:ilvl w:val="0"/>
          <w:numId w:val="0"/>
        </w:numPr>
        <w:tabs>
          <w:tab w:val="left" w:pos="312"/>
          <w:tab w:val="left" w:pos="640"/>
        </w:tabs>
        <w:ind w:left="420"/>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firstLine="422" w:firstLineChars="200"/>
        <w:jc w:val="left"/>
        <w:rPr>
          <w:rFonts w:asciiTheme="minorEastAsia" w:hAnsiTheme="minorEastAsia"/>
          <w:b/>
          <w:bCs/>
        </w:rPr>
      </w:pPr>
      <w:r>
        <w:rPr>
          <w:rFonts w:hint="eastAsia" w:asciiTheme="minorEastAsia" w:hAnsiTheme="minorEastAsia"/>
          <w:b/>
          <w:bCs/>
        </w:rPr>
        <w:t>因下列原因造成被保险人身故、残疾的，保险公司不承担给付保险金责任：</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投保人的故意行为；</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被保险人或其家属不配合治疗、不执行医嘱、擅自使用药物而造成的不良后果；</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被保险人知情情况下使用过期、变质、质量不合格的疫苗或使用未经国家药品监督管理部门认可的疫苗；</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被保险人妊娠（包括宫外孕）、流产、堕胎、安胎、分娩、食物中毒；</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被保险人未遵医嘱服用、涂用、注射药物；</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被保险人醉酒或受毒品、管制药物的影响期间；</w:t>
      </w:r>
    </w:p>
    <w:p>
      <w:pPr>
        <w:pStyle w:val="20"/>
        <w:numPr>
          <w:ilvl w:val="0"/>
          <w:numId w:val="23"/>
        </w:numPr>
        <w:tabs>
          <w:tab w:val="left" w:pos="640"/>
        </w:tabs>
        <w:ind w:left="425" w:hanging="425" w:firstLineChars="0"/>
        <w:jc w:val="left"/>
        <w:rPr>
          <w:rFonts w:asciiTheme="minorEastAsia" w:hAnsiTheme="minorEastAsia"/>
          <w:b/>
          <w:bCs/>
        </w:rPr>
      </w:pPr>
      <w:r>
        <w:rPr>
          <w:rFonts w:hint="eastAsia" w:asciiTheme="minorEastAsia" w:hAnsiTheme="minorEastAsia"/>
          <w:b/>
          <w:bCs/>
        </w:rPr>
        <w:t>被保险人患艾滋病（AIDS）或感染艾滋病毒（HIV 呈阳性）期间。</w:t>
      </w:r>
    </w:p>
    <w:p>
      <w:pPr>
        <w:tabs>
          <w:tab w:val="left" w:pos="640"/>
        </w:tabs>
        <w:ind w:left="420"/>
        <w:jc w:val="left"/>
        <w:rPr>
          <w:rFonts w:asciiTheme="minorEastAsia" w:hAnsiTheme="minorEastAsia"/>
          <w:b/>
          <w:bCs/>
        </w:rPr>
      </w:pPr>
      <w:r>
        <w:rPr>
          <w:rFonts w:hint="eastAsia" w:asciiTheme="minorEastAsia" w:hAnsiTheme="minorEastAsia"/>
          <w:b/>
          <w:bCs/>
        </w:rPr>
        <w:t>若被保险人在购买本产品前出现以下一种或多种情况，被保险人免除保险责任：</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被保险人投保前</w:t>
      </w:r>
      <w:r>
        <w:rPr>
          <w:rFonts w:asciiTheme="minorEastAsia" w:hAnsiTheme="minorEastAsia"/>
          <w:b/>
          <w:bCs/>
        </w:rPr>
        <w:t>1</w:t>
      </w:r>
      <w:r>
        <w:rPr>
          <w:rFonts w:hint="eastAsia" w:asciiTheme="minorEastAsia" w:hAnsiTheme="minorEastAsia"/>
          <w:b/>
          <w:bCs/>
        </w:rPr>
        <w:t>年因接种疫苗发生意外伤残、异常反应和偶合症的，且未治愈</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被保险人曾被诊断不符合本细则约定范围的疫苗的接种条件</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被保险人曾被医院确诊罹患本细则约定范围的疫苗所预防的疾病且未治愈</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被保险人曾被诊断为本细则约定范围的疫苗所预防疾病的疑似病例或无症状感染者</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b/>
          <w:bCs/>
        </w:rPr>
      </w:pPr>
      <w:r>
        <w:rPr>
          <w:rFonts w:hint="eastAsia" w:asciiTheme="minorEastAsia" w:hAnsiTheme="minorEastAsia"/>
          <w:b/>
          <w:bCs/>
        </w:rPr>
        <w:t>被保险人因疑似与本细则约定范围的疫苗所预防疾病的患者密切接触而被建议隔离，且尚未取消隔离</w:t>
      </w:r>
      <w:r>
        <w:rPr>
          <w:rFonts w:hint="eastAsia" w:asciiTheme="minorEastAsia" w:hAnsiTheme="minorEastAsia"/>
          <w:b/>
          <w:bCs/>
          <w:lang w:eastAsia="zh-CN"/>
        </w:rPr>
        <w:t>；</w:t>
      </w:r>
    </w:p>
    <w:p>
      <w:pPr>
        <w:pStyle w:val="20"/>
        <w:numPr>
          <w:ilvl w:val="0"/>
          <w:numId w:val="24"/>
        </w:numPr>
        <w:ind w:left="425" w:hanging="425" w:firstLineChars="0"/>
        <w:jc w:val="left"/>
        <w:rPr>
          <w:rFonts w:asciiTheme="minorEastAsia" w:hAnsiTheme="minorEastAsia"/>
        </w:rPr>
      </w:pPr>
      <w:r>
        <w:rPr>
          <w:rFonts w:hint="eastAsia" w:asciiTheme="minorEastAsia" w:hAnsiTheme="minorEastAsia"/>
          <w:b/>
          <w:bCs/>
        </w:rPr>
        <w:t>被保险人对本细则约定范围的疫苗有过敏反应</w:t>
      </w:r>
      <w:r>
        <w:rPr>
          <w:rFonts w:hint="eastAsia" w:asciiTheme="minorEastAsia" w:hAnsiTheme="minorEastAsia"/>
          <w:b/>
          <w:bCs/>
          <w:lang w:eastAsia="zh-CN"/>
        </w:rPr>
        <w:t>。</w:t>
      </w:r>
    </w:p>
    <w:p>
      <w:pPr>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5"/>
        <w:tabs>
          <w:tab w:val="clear" w:pos="840"/>
        </w:tabs>
        <w:ind w:left="0" w:leftChars="0" w:firstLine="422" w:firstLineChars="200"/>
      </w:pPr>
      <w:r>
        <w:rPr>
          <w:rFonts w:hint="eastAsia"/>
        </w:rPr>
        <w:t>因下列情形之一，导致被保险人身故或伤残的，保险人不承担给付保险金责任：</w:t>
      </w:r>
    </w:p>
    <w:p>
      <w:pPr>
        <w:pStyle w:val="25"/>
        <w:numPr>
          <w:ilvl w:val="0"/>
          <w:numId w:val="25"/>
        </w:numPr>
        <w:tabs>
          <w:tab w:val="clear" w:pos="840"/>
        </w:tabs>
        <w:ind w:left="425" w:leftChars="0" w:hanging="425"/>
      </w:pPr>
      <w:r>
        <w:rPr>
          <w:rFonts w:hint="eastAsia"/>
        </w:rPr>
        <w:t>投保人的故意行为；</w:t>
      </w:r>
    </w:p>
    <w:p>
      <w:pPr>
        <w:pStyle w:val="25"/>
        <w:numPr>
          <w:ilvl w:val="0"/>
          <w:numId w:val="25"/>
        </w:numPr>
        <w:tabs>
          <w:tab w:val="clear" w:pos="840"/>
        </w:tabs>
        <w:ind w:left="425" w:leftChars="0" w:hanging="425"/>
      </w:pPr>
      <w:r>
        <w:rPr>
          <w:rFonts w:hint="eastAsia"/>
        </w:rPr>
        <w:t>被保险人或其家属未遵医生开具的处方私自服用、涂用、注射药物；</w:t>
      </w:r>
    </w:p>
    <w:p>
      <w:pPr>
        <w:pStyle w:val="25"/>
        <w:numPr>
          <w:ilvl w:val="0"/>
          <w:numId w:val="25"/>
        </w:numPr>
        <w:tabs>
          <w:tab w:val="clear" w:pos="840"/>
        </w:tabs>
        <w:ind w:left="425" w:leftChars="0" w:hanging="425"/>
      </w:pPr>
      <w:r>
        <w:rPr>
          <w:rFonts w:hint="eastAsia"/>
        </w:rPr>
        <w:t>被保险人或者其家属接种前，未按照</w:t>
      </w:r>
      <w:r>
        <w:t>要求</w:t>
      </w:r>
      <w:r>
        <w:rPr>
          <w:rFonts w:hint="eastAsia"/>
        </w:rPr>
        <w:t>如实提供被保险人的健康状况、接种禁忌等情况，接种后被保险人原有疾病急性复发或者病情加重；</w:t>
      </w:r>
    </w:p>
    <w:p>
      <w:pPr>
        <w:pStyle w:val="25"/>
        <w:numPr>
          <w:ilvl w:val="0"/>
          <w:numId w:val="25"/>
        </w:numPr>
        <w:tabs>
          <w:tab w:val="clear" w:pos="840"/>
        </w:tabs>
        <w:ind w:left="425" w:leftChars="0" w:hanging="425"/>
      </w:pPr>
      <w:r>
        <w:rPr>
          <w:rFonts w:hint="eastAsia"/>
        </w:rPr>
        <w:t>对于有接种禁忌而不能接种的受种者，在医护人员提出医学建议后，受种者或受种者监护人仍要求实施接种的；</w:t>
      </w:r>
    </w:p>
    <w:p>
      <w:pPr>
        <w:pStyle w:val="25"/>
        <w:numPr>
          <w:ilvl w:val="0"/>
          <w:numId w:val="25"/>
        </w:numPr>
        <w:tabs>
          <w:tab w:val="clear" w:pos="840"/>
        </w:tabs>
        <w:ind w:left="425" w:leftChars="0" w:hanging="425"/>
      </w:pPr>
      <w:r>
        <w:rPr>
          <w:rFonts w:hint="eastAsia"/>
        </w:rPr>
        <w:t>被保险人或其家属未按规定程序按时接受疫苗的预防接种；</w:t>
      </w:r>
    </w:p>
    <w:p>
      <w:pPr>
        <w:pStyle w:val="25"/>
        <w:numPr>
          <w:ilvl w:val="0"/>
          <w:numId w:val="25"/>
        </w:numPr>
        <w:tabs>
          <w:tab w:val="clear" w:pos="840"/>
        </w:tabs>
        <w:ind w:left="425" w:leftChars="0" w:hanging="425"/>
      </w:pPr>
      <w:r>
        <w:rPr>
          <w:rFonts w:hint="eastAsia"/>
        </w:rPr>
        <w:t>被保险人或其家属不遵守医院规章制度、拒绝或者未按要求配合检查、治疗的行为；</w:t>
      </w:r>
    </w:p>
    <w:p>
      <w:pPr>
        <w:pStyle w:val="25"/>
        <w:numPr>
          <w:ilvl w:val="0"/>
          <w:numId w:val="25"/>
        </w:numPr>
        <w:tabs>
          <w:tab w:val="clear" w:pos="840"/>
        </w:tabs>
        <w:ind w:left="425" w:leftChars="0" w:hanging="425"/>
      </w:pPr>
      <w:r>
        <w:rPr>
          <w:rFonts w:hint="eastAsia"/>
        </w:rPr>
        <w:t>被保险人在不具有卫生主管部门要求具备预防接种条件的单位接种疫苗；</w:t>
      </w:r>
    </w:p>
    <w:p>
      <w:pPr>
        <w:pStyle w:val="25"/>
        <w:numPr>
          <w:ilvl w:val="0"/>
          <w:numId w:val="25"/>
        </w:numPr>
        <w:tabs>
          <w:tab w:val="clear" w:pos="840"/>
        </w:tabs>
        <w:ind w:left="425" w:leftChars="0" w:hanging="425"/>
      </w:pPr>
      <w:r>
        <w:rPr>
          <w:rFonts w:hint="eastAsia"/>
        </w:rPr>
        <w:t>使用过期、变质、质量不合格的疫苗或使用未经国家药品监督管理部门认可的疫苗</w:t>
      </w:r>
      <w:r>
        <w:rPr>
          <w:rFonts w:hint="eastAsia"/>
          <w:lang w:eastAsia="zh-CN"/>
        </w:rPr>
        <w:t>；</w:t>
      </w:r>
    </w:p>
    <w:p>
      <w:pPr>
        <w:pStyle w:val="25"/>
        <w:numPr>
          <w:ilvl w:val="0"/>
          <w:numId w:val="25"/>
        </w:numPr>
        <w:tabs>
          <w:tab w:val="clear" w:pos="840"/>
        </w:tabs>
        <w:ind w:left="425" w:leftChars="0" w:hanging="425"/>
      </w:pPr>
      <w:r>
        <w:rPr>
          <w:rFonts w:hint="eastAsia"/>
        </w:rPr>
        <w:t>实施接种的医疗卫生人员未参加卫生主管部门组织的预防接种专业培训或考核不合格；</w:t>
      </w:r>
    </w:p>
    <w:p>
      <w:pPr>
        <w:pStyle w:val="25"/>
        <w:numPr>
          <w:ilvl w:val="0"/>
          <w:numId w:val="25"/>
        </w:numPr>
        <w:tabs>
          <w:tab w:val="clear" w:pos="840"/>
        </w:tabs>
        <w:ind w:left="425" w:leftChars="0" w:hanging="425"/>
      </w:pPr>
      <w:r>
        <w:rPr>
          <w:rFonts w:hint="eastAsia"/>
        </w:rPr>
        <w:t>接种单位违反《疫苗流通和预防接种管理条例》、预防接种工作规范、免疫程序、疫苗使用指导原则、接种方案；</w:t>
      </w:r>
    </w:p>
    <w:p>
      <w:pPr>
        <w:pStyle w:val="25"/>
        <w:numPr>
          <w:ilvl w:val="0"/>
          <w:numId w:val="25"/>
        </w:numPr>
        <w:tabs>
          <w:tab w:val="clear" w:pos="840"/>
        </w:tabs>
        <w:ind w:left="425" w:leftChars="0" w:hanging="425"/>
      </w:pPr>
      <w:r>
        <w:rPr>
          <w:rFonts w:hint="cs"/>
        </w:rPr>
        <w:t>心因性反应</w:t>
      </w:r>
      <w:r>
        <w:rPr>
          <w:rFonts w:hint="eastAsia"/>
        </w:rPr>
        <w:t>；</w:t>
      </w:r>
    </w:p>
    <w:p>
      <w:pPr>
        <w:pStyle w:val="25"/>
        <w:numPr>
          <w:ilvl w:val="0"/>
          <w:numId w:val="25"/>
        </w:numPr>
        <w:tabs>
          <w:tab w:val="clear" w:pos="840"/>
        </w:tabs>
        <w:ind w:left="425" w:leftChars="0" w:hanging="425"/>
      </w:pPr>
      <w:r>
        <w:rPr>
          <w:rFonts w:hint="eastAsia"/>
        </w:rPr>
        <w:t>被保险人在</w:t>
      </w:r>
      <w:r>
        <w:t>预防接种前</w:t>
      </w:r>
      <w:r>
        <w:rPr>
          <w:rFonts w:hint="eastAsia"/>
        </w:rPr>
        <w:t>已患有或遗传已</w:t>
      </w:r>
      <w:r>
        <w:t>免疫的疾病</w:t>
      </w:r>
      <w:r>
        <w:rPr>
          <w:rFonts w:hint="eastAsia"/>
        </w:rPr>
        <w:t>；</w:t>
      </w:r>
    </w:p>
    <w:p>
      <w:pPr>
        <w:pStyle w:val="25"/>
        <w:numPr>
          <w:ilvl w:val="0"/>
          <w:numId w:val="25"/>
        </w:numPr>
        <w:tabs>
          <w:tab w:val="clear" w:pos="840"/>
        </w:tabs>
        <w:ind w:left="425" w:hanging="425"/>
        <w:rPr>
          <w:rFonts w:asciiTheme="minorEastAsia" w:hAnsiTheme="minorEastAsia"/>
        </w:rPr>
      </w:pPr>
      <w:r>
        <w:rPr>
          <w:rFonts w:hint="eastAsia"/>
        </w:rPr>
        <w:t>被保险人</w:t>
      </w:r>
      <w:r>
        <w:t>在预防接种后患有已免疫的疾病。</w:t>
      </w:r>
    </w:p>
    <w:p>
      <w:pPr>
        <w:numPr>
          <w:ilvl w:val="0"/>
          <w:numId w:val="22"/>
        </w:numPr>
        <w:tabs>
          <w:tab w:val="left" w:pos="640"/>
        </w:tabs>
        <w:ind w:left="420"/>
        <w:jc w:val="left"/>
        <w:rPr>
          <w:rFonts w:asciiTheme="minorEastAsia" w:hAnsiTheme="minorEastAsia"/>
        </w:rPr>
      </w:pPr>
      <w:r>
        <w:rPr>
          <w:rFonts w:asciiTheme="minorEastAsia" w:hAnsiTheme="minorEastAsia"/>
        </w:rPr>
        <w:t>理赔流程</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或中国人民财产保险股份有限公司深圳市分公司客服热线0755-95518</w:t>
      </w:r>
      <w:r>
        <w:rPr>
          <w:rFonts w:hint="eastAsia" w:asciiTheme="minorEastAsia" w:hAnsiTheme="minorEastAsia"/>
        </w:rPr>
        <w:t>；</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理赔材料通过邮寄方式提交；</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判断确属保险责任范围，在结案后10个工作日内</w:t>
      </w:r>
      <w:r>
        <w:rPr>
          <w:rFonts w:hint="eastAsia" w:asciiTheme="minorEastAsia" w:hAnsiTheme="minorEastAsia"/>
          <w:lang w:val="en-US" w:eastAsia="zh-CN"/>
        </w:rPr>
        <w:t>理赔</w:t>
      </w:r>
      <w:r>
        <w:rPr>
          <w:rFonts w:hint="eastAsia" w:asciiTheme="minorEastAsia" w:hAnsiTheme="minorEastAsia"/>
        </w:rPr>
        <w:t>；</w:t>
      </w:r>
    </w:p>
    <w:p>
      <w:pPr>
        <w:pStyle w:val="20"/>
        <w:numPr>
          <w:ilvl w:val="0"/>
          <w:numId w:val="26"/>
        </w:numPr>
        <w:ind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22"/>
        </w:numPr>
        <w:tabs>
          <w:tab w:val="left" w:pos="640"/>
        </w:tabs>
        <w:ind w:left="420"/>
        <w:jc w:val="left"/>
        <w:rPr>
          <w:rFonts w:asciiTheme="minorEastAsia" w:hAnsiTheme="minorEastAsia"/>
        </w:rPr>
      </w:pPr>
      <w:r>
        <w:rPr>
          <w:rFonts w:asciiTheme="minorEastAsia" w:hAnsiTheme="minorEastAsia"/>
        </w:rPr>
        <w:t>理赔</w:t>
      </w:r>
      <w:r>
        <w:rPr>
          <w:rFonts w:hint="eastAsia" w:asciiTheme="minorEastAsia" w:hAnsiTheme="minorEastAsia"/>
        </w:rPr>
        <w:t>资料</w:t>
      </w:r>
    </w:p>
    <w:p>
      <w:pPr>
        <w:pStyle w:val="20"/>
        <w:numPr>
          <w:ilvl w:val="0"/>
          <w:numId w:val="0"/>
        </w:numPr>
        <w:tabs>
          <w:tab w:val="left" w:pos="312"/>
          <w:tab w:val="left" w:pos="640"/>
        </w:tabs>
        <w:ind w:left="0"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20"/>
        <w:numPr>
          <w:ilvl w:val="-1"/>
          <w:numId w:val="0"/>
        </w:numPr>
        <w:ind w:left="422" w:firstLine="0" w:firstLineChars="0"/>
        <w:jc w:val="left"/>
        <w:rPr>
          <w:rFonts w:asciiTheme="minorEastAsia" w:hAnsiTheme="minorEastAsia"/>
          <w:b/>
          <w:bCs/>
        </w:rPr>
      </w:pPr>
      <w:r>
        <w:rPr>
          <w:rFonts w:hint="eastAsia" w:asciiTheme="minorEastAsia" w:hAnsiTheme="minorEastAsia"/>
          <w:b/>
          <w:bCs/>
        </w:rPr>
        <w:t>意外身故保险金申请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保险金给付申请书；</w:t>
      </w:r>
    </w:p>
    <w:p>
      <w:pPr>
        <w:pStyle w:val="20"/>
        <w:numPr>
          <w:ilvl w:val="0"/>
          <w:numId w:val="27"/>
        </w:numPr>
        <w:ind w:left="425" w:hanging="425" w:firstLineChars="0"/>
        <w:jc w:val="left"/>
        <w:rPr>
          <w:rFonts w:asciiTheme="minorEastAsia" w:hAnsiTheme="minorEastAsia"/>
        </w:rPr>
      </w:pPr>
      <w:r>
        <w:rPr>
          <w:rFonts w:hint="eastAsia" w:ascii="宋体" w:hAnsi="宋体"/>
          <w:szCs w:val="21"/>
        </w:rPr>
        <w:t>保险单</w:t>
      </w:r>
      <w:r>
        <w:rPr>
          <w:rFonts w:hint="eastAsia" w:asciiTheme="minorEastAsia" w:hAnsiTheme="minorEastAsia"/>
        </w:rPr>
        <w:t>或其他保险凭证正本；</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保险金申请人的身份证明；</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公安部门或医疗机构出具的被保险人死亡证明书；</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若被保险人发生预防接种异常反应的，需提供市级或者省级预防接种异常反应调查诊断专家组出具的预防接种异常反应调查诊断或鉴定结论；若被保险人发生预防接种一般反应或偶合症的，需提供接种疫苗的医疗机构出具的事故证明；</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被保险人的户籍注销证明；</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r>
        <w:rPr>
          <w:rFonts w:hint="eastAsia" w:asciiTheme="minorEastAsia" w:hAnsiTheme="minorEastAsia"/>
          <w:lang w:eastAsia="zh-CN"/>
        </w:rPr>
        <w:t>；</w:t>
      </w:r>
    </w:p>
    <w:p>
      <w:pPr>
        <w:pStyle w:val="20"/>
        <w:numPr>
          <w:ilvl w:val="0"/>
          <w:numId w:val="27"/>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pStyle w:val="20"/>
        <w:numPr>
          <w:ilvl w:val="-1"/>
          <w:numId w:val="0"/>
        </w:numPr>
        <w:ind w:left="422" w:firstLine="0" w:firstLineChars="0"/>
        <w:jc w:val="left"/>
        <w:rPr>
          <w:rFonts w:asciiTheme="minorEastAsia" w:hAnsiTheme="minorEastAsia"/>
          <w:b/>
          <w:bCs/>
        </w:rPr>
      </w:pPr>
      <w:r>
        <w:rPr>
          <w:rFonts w:hint="eastAsia" w:asciiTheme="minorEastAsia" w:hAnsiTheme="minorEastAsia"/>
          <w:b/>
          <w:bCs/>
        </w:rPr>
        <w:t>意外残疾保险金申请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保险金给付申请书；</w:t>
      </w:r>
    </w:p>
    <w:p>
      <w:pPr>
        <w:pStyle w:val="20"/>
        <w:numPr>
          <w:ilvl w:val="0"/>
          <w:numId w:val="28"/>
        </w:numPr>
        <w:ind w:left="425" w:hanging="425" w:firstLineChars="0"/>
        <w:jc w:val="left"/>
        <w:rPr>
          <w:rFonts w:asciiTheme="minorEastAsia" w:hAnsiTheme="minorEastAsia"/>
        </w:rPr>
      </w:pPr>
      <w:r>
        <w:rPr>
          <w:rFonts w:hint="eastAsia" w:ascii="宋体" w:hAnsi="宋体"/>
          <w:szCs w:val="21"/>
        </w:rPr>
        <w:t>保险单</w:t>
      </w:r>
      <w:r>
        <w:rPr>
          <w:rFonts w:hint="eastAsia" w:asciiTheme="minorEastAsia" w:hAnsiTheme="minorEastAsia"/>
        </w:rPr>
        <w:t>或其他保险凭证正本；</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被保险人身份证明；</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二级以上（含二级）或保险公司认可的医疗机构或司法鉴定机构出具的伤残鉴定诊断书；</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若被保险人发生预防接种一般反应、异常反应、偶合症或预防接种事故的，需提供《疫苗流通和预防接种管理条例》和《医疗事故处理条例》规定的机构或专家组出具的调查诊断或鉴定结论；</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r>
        <w:rPr>
          <w:rFonts w:hint="eastAsia" w:asciiTheme="minorEastAsia" w:hAnsiTheme="minorEastAsia"/>
          <w:lang w:eastAsia="zh-CN"/>
        </w:rPr>
        <w:t>；</w:t>
      </w:r>
    </w:p>
    <w:p>
      <w:pPr>
        <w:pStyle w:val="20"/>
        <w:numPr>
          <w:ilvl w:val="0"/>
          <w:numId w:val="28"/>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pStyle w:val="20"/>
        <w:numPr>
          <w:ilvl w:val="-1"/>
          <w:numId w:val="0"/>
        </w:numPr>
        <w:ind w:left="422" w:firstLine="0" w:firstLineChars="0"/>
        <w:jc w:val="left"/>
        <w:rPr>
          <w:rFonts w:asciiTheme="minorEastAsia" w:hAnsiTheme="minorEastAsia"/>
          <w:b/>
          <w:bCs/>
        </w:rPr>
      </w:pPr>
      <w:r>
        <w:rPr>
          <w:rFonts w:hint="eastAsia" w:asciiTheme="minorEastAsia" w:hAnsiTheme="minorEastAsia"/>
          <w:b/>
          <w:bCs/>
        </w:rPr>
        <w:t>预防接种一般反应、预防接种异常反应、偶合症、预防接种事故医疗保险金申请</w:t>
      </w:r>
      <w:r>
        <w:rPr>
          <w:rFonts w:hint="eastAsia" w:asciiTheme="minorEastAsia" w:hAnsiTheme="minorEastAsia"/>
          <w:b/>
          <w:bCs/>
          <w:lang w:val="en-US" w:eastAsia="zh-CN"/>
        </w:rPr>
        <w:t>所需材料</w:t>
      </w:r>
      <w:r>
        <w:rPr>
          <w:rFonts w:hint="eastAsia" w:asciiTheme="minorEastAsia" w:hAnsiTheme="minorEastAsia"/>
          <w:b/>
          <w:bCs/>
        </w:rPr>
        <w:t>：</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保险金给付申请书；</w:t>
      </w:r>
    </w:p>
    <w:p>
      <w:pPr>
        <w:pStyle w:val="20"/>
        <w:numPr>
          <w:ilvl w:val="0"/>
          <w:numId w:val="29"/>
        </w:numPr>
        <w:ind w:left="425" w:hanging="425" w:firstLineChars="0"/>
        <w:jc w:val="left"/>
        <w:rPr>
          <w:rFonts w:asciiTheme="minorEastAsia" w:hAnsiTheme="minorEastAsia"/>
        </w:rPr>
      </w:pPr>
      <w:r>
        <w:rPr>
          <w:rFonts w:hint="eastAsia" w:ascii="宋体" w:hAnsi="宋体"/>
          <w:szCs w:val="21"/>
        </w:rPr>
        <w:t>保险单</w:t>
      </w:r>
      <w:r>
        <w:rPr>
          <w:rFonts w:hint="eastAsia" w:asciiTheme="minorEastAsia" w:hAnsiTheme="minorEastAsia"/>
        </w:rPr>
        <w:t>或其他保险凭证正本；</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被保险人身份证明；</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医院或接种疫苗的医疗机构出具的医疗证明和医疗费用原始凭证；</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若被保险人发生预防接种一般反应、异常反应、偶合症或预防接种事故的，需提供《疫苗流通和预防接种管理条例》和《医疗事故处理条例》规定的机构或专家组出具的调查诊断或鉴定结论；</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r>
        <w:rPr>
          <w:rFonts w:hint="eastAsia" w:asciiTheme="minorEastAsia" w:hAnsiTheme="minorEastAsia"/>
          <w:lang w:eastAsia="zh-CN"/>
        </w:rPr>
        <w:t>；</w:t>
      </w:r>
    </w:p>
    <w:p>
      <w:pPr>
        <w:pStyle w:val="20"/>
        <w:numPr>
          <w:ilvl w:val="0"/>
          <w:numId w:val="29"/>
        </w:numPr>
        <w:ind w:left="425" w:hanging="425" w:firstLineChars="0"/>
        <w:jc w:val="left"/>
        <w:rPr>
          <w:rFonts w:asciiTheme="minorEastAsia" w:hAnsiTheme="minorEastAsia"/>
        </w:rPr>
      </w:pPr>
      <w:r>
        <w:rPr>
          <w:rFonts w:hint="eastAsia" w:asciiTheme="minorEastAsia" w:hAnsiTheme="minorEastAsia"/>
        </w:rPr>
        <w:t>卡中心或保险公司认为必要的其他相关资料。</w:t>
      </w:r>
    </w:p>
    <w:p>
      <w:pPr>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6"/>
        <w:tabs>
          <w:tab w:val="left" w:pos="840"/>
          <w:tab w:val="clear" w:pos="945"/>
        </w:tabs>
        <w:ind w:firstLine="422" w:firstLineChars="200"/>
        <w:rPr>
          <w:rFonts w:hint="eastAsia" w:eastAsiaTheme="minorEastAsia"/>
          <w:lang w:eastAsia="zh-CN"/>
        </w:rPr>
      </w:pPr>
      <w:r>
        <w:rPr>
          <w:rFonts w:hint="eastAsia" w:asciiTheme="minorEastAsia" w:hAnsiTheme="minorEastAsia"/>
          <w:b/>
          <w:bCs/>
        </w:rPr>
        <w:t>意外</w:t>
      </w:r>
      <w:r>
        <w:rPr>
          <w:rFonts w:hint="eastAsia"/>
        </w:rPr>
        <w:t>身故保险金申请</w:t>
      </w:r>
      <w:r>
        <w:rPr>
          <w:rFonts w:hint="eastAsia"/>
          <w:lang w:eastAsia="zh-CN"/>
        </w:rPr>
        <w:t>：</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保险金给付申请书；</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保险金申请人的身份证明；</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公安机关或司法部门、二级及二级以上医院或保险人认可的医疗机构出具的被保险人死亡证明或验尸报告；</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预防接种异常反应调查诊断结论或根据《鉴定办法》进行的预防接种异常反应鉴定结论；</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如申请预防接种事故理赔的，还需提供药品监督管理部门出具的疫苗质量检验结果报告；</w:t>
      </w:r>
    </w:p>
    <w:p>
      <w:pPr>
        <w:pStyle w:val="20"/>
        <w:numPr>
          <w:ilvl w:val="0"/>
          <w:numId w:val="30"/>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如申请疫苗质量事故理赔的，还需提供医疗事故技术鉴定结论；</w:t>
      </w:r>
    </w:p>
    <w:p>
      <w:pPr>
        <w:pStyle w:val="20"/>
        <w:numPr>
          <w:ilvl w:val="0"/>
          <w:numId w:val="30"/>
        </w:numPr>
        <w:ind w:left="425" w:leftChars="0" w:hanging="425" w:firstLineChars="0"/>
        <w:rPr>
          <w:rFonts w:asciiTheme="majorEastAsia" w:hAnsiTheme="majorEastAsia" w:eastAsiaTheme="majorEastAsia"/>
          <w:b/>
        </w:rPr>
      </w:pPr>
      <w:r>
        <w:rPr>
          <w:rFonts w:hint="eastAsia" w:asciiTheme="minorEastAsia" w:hAnsiTheme="minorEastAsia" w:eastAsiaTheme="minorEastAsia"/>
        </w:rPr>
        <w:t>保险金申请人所能提供的与确认保险事故的性质、原因、损失程度等有关的其他证明和资料</w:t>
      </w:r>
      <w:r>
        <w:rPr>
          <w:rFonts w:hint="eastAsia" w:asciiTheme="minorEastAsia" w:hAnsiTheme="minorEastAsia"/>
          <w:lang w:eastAsia="zh-CN"/>
        </w:rPr>
        <w:t>；</w:t>
      </w:r>
    </w:p>
    <w:p>
      <w:pPr>
        <w:pStyle w:val="20"/>
        <w:numPr>
          <w:ilvl w:val="0"/>
          <w:numId w:val="30"/>
        </w:numPr>
        <w:ind w:left="425" w:leftChars="0" w:hanging="425" w:firstLineChars="0"/>
        <w:rPr>
          <w:rFonts w:asciiTheme="majorEastAsia" w:hAnsiTheme="majorEastAsia" w:eastAsiaTheme="majorEastAsia"/>
          <w:b/>
        </w:rPr>
      </w:pPr>
      <w:r>
        <w:rPr>
          <w:rFonts w:hint="eastAsia" w:asciiTheme="minorEastAsia" w:hAnsiTheme="minorEastAsia"/>
        </w:rPr>
        <w:t>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r>
        <w:rPr>
          <w:rFonts w:hint="eastAsia" w:asciiTheme="minorEastAsia" w:hAnsiTheme="minorEastAsia" w:eastAsiaTheme="minorEastAsia"/>
        </w:rPr>
        <w:t>。</w:t>
      </w:r>
    </w:p>
    <w:p>
      <w:pPr>
        <w:pStyle w:val="6"/>
        <w:tabs>
          <w:tab w:val="left" w:pos="840"/>
          <w:tab w:val="clear" w:pos="945"/>
        </w:tabs>
        <w:ind w:firstLine="422" w:firstLineChars="200"/>
        <w:rPr>
          <w:rFonts w:hint="eastAsia" w:eastAsiaTheme="minorEastAsia"/>
          <w:lang w:eastAsia="zh-CN"/>
        </w:rPr>
      </w:pPr>
      <w:r>
        <w:rPr>
          <w:rFonts w:hint="eastAsia" w:asciiTheme="minorEastAsia" w:hAnsiTheme="minorEastAsia"/>
          <w:b/>
          <w:bCs/>
        </w:rPr>
        <w:t>意外</w:t>
      </w:r>
      <w:r>
        <w:rPr>
          <w:rFonts w:hint="eastAsia"/>
        </w:rPr>
        <w:t>伤残保险金申请</w:t>
      </w:r>
      <w:r>
        <w:rPr>
          <w:rFonts w:hint="eastAsia"/>
          <w:lang w:eastAsia="zh-CN"/>
        </w:rPr>
        <w:t>：</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保险金给付申请书；</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保险金申请人、被保险人身份证明；</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预防接种异常反应调查诊断结论或根据《鉴定办法》进行的预防接种异常反应鉴定结论；如对伤残鉴定适用标准另有约定的，还应提供司法部门、二级及二级以上医院或保险人认可的医疗机构、保险人认可的其他鉴定机构出具的伤残鉴定诊断书；</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如申请预防接种事故理赔的，还需提供药品监督管理部门出具的疫苗质量检验结果报告；</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如申请疫苗质量事故理赔的，还需提供医疗事故技术鉴定结论；</w:t>
      </w:r>
    </w:p>
    <w:p>
      <w:pPr>
        <w:pStyle w:val="20"/>
        <w:numPr>
          <w:ilvl w:val="0"/>
          <w:numId w:val="31"/>
        </w:numPr>
        <w:ind w:left="425" w:leftChars="0" w:hanging="425" w:firstLineChars="0"/>
        <w:rPr>
          <w:rFonts w:hint="eastAsia" w:asciiTheme="minorEastAsia" w:hAnsiTheme="minorEastAsia" w:eastAsiaTheme="minorEastAsia"/>
          <w:b w:val="0"/>
        </w:rPr>
      </w:pPr>
      <w:r>
        <w:rPr>
          <w:rFonts w:hint="eastAsia" w:asciiTheme="minorEastAsia" w:hAnsiTheme="minorEastAsia" w:eastAsiaTheme="minorEastAsia"/>
        </w:rPr>
        <w:t>保险金申请人所能提供的其他与确认保险事故的性质、原因、损失程度等有关的证明和资料</w:t>
      </w:r>
      <w:r>
        <w:rPr>
          <w:rFonts w:hint="eastAsia" w:asciiTheme="minorEastAsia" w:hAnsiTheme="minorEastAsia"/>
          <w:lang w:eastAsia="zh-CN"/>
        </w:rPr>
        <w:t>；</w:t>
      </w:r>
    </w:p>
    <w:p>
      <w:pPr>
        <w:pStyle w:val="20"/>
        <w:numPr>
          <w:ilvl w:val="0"/>
          <w:numId w:val="31"/>
        </w:numPr>
        <w:ind w:left="425" w:hanging="425" w:firstLineChars="0"/>
        <w:rPr>
          <w:rFonts w:asciiTheme="minorEastAsia" w:hAnsiTheme="minorEastAsia"/>
          <w:b/>
          <w:bCs/>
        </w:rPr>
      </w:pPr>
      <w:r>
        <w:rPr>
          <w:rFonts w:hint="eastAsia" w:asciiTheme="minorEastAsia" w:hAnsiTheme="minorEastAsia"/>
        </w:rPr>
        <w:t>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r>
        <w:rPr>
          <w:rFonts w:hint="eastAsia" w:asciiTheme="minorEastAsia" w:hAnsiTheme="minorEastAsia" w:eastAsiaTheme="minorEastAsia"/>
        </w:rPr>
        <w:t>。</w:t>
      </w:r>
    </w:p>
    <w:p>
      <w:pPr>
        <w:pStyle w:val="20"/>
        <w:numPr>
          <w:ilvl w:val="-1"/>
          <w:numId w:val="0"/>
        </w:numPr>
        <w:ind w:left="0" w:firstLine="0" w:firstLineChars="0"/>
        <w:rPr>
          <w:rFonts w:asciiTheme="minorEastAsia" w:hAnsiTheme="minorEastAsia"/>
          <w:b/>
          <w:bC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r>
        <w:rPr>
          <w:rFonts w:hint="eastAsia" w:asciiTheme="minorEastAsia" w:hAnsiTheme="minorEastAsia"/>
          <w:b/>
          <w:bCs/>
          <w:lang w:eastAsia="zh-CN"/>
        </w:rPr>
        <w:tab/>
      </w:r>
    </w:p>
    <w:p>
      <w:pPr>
        <w:ind w:left="2" w:leftChars="1" w:firstLine="422" w:firstLineChars="200"/>
        <w:jc w:val="left"/>
        <w:rPr>
          <w:rFonts w:asciiTheme="minorEastAsia" w:hAnsiTheme="minorEastAsia"/>
          <w:b/>
          <w:bCs/>
        </w:rPr>
      </w:pPr>
      <w:r>
        <w:rPr>
          <w:rFonts w:hint="eastAsia" w:asciiTheme="minorEastAsia" w:hAnsiTheme="minorEastAsia"/>
          <w:b/>
          <w:bCs/>
        </w:rPr>
        <w:t>（一）“如意宝”优选增值服务产品提供的重大疾病二次诊疗服务、附赠的保险权益自</w:t>
      </w:r>
      <w:r>
        <w:rPr>
          <w:rFonts w:hint="eastAsia" w:asciiTheme="minorEastAsia" w:hAnsiTheme="minorEastAsia"/>
          <w:b/>
          <w:bCs/>
          <w:lang w:val="en-US" w:eastAsia="zh-CN"/>
        </w:rPr>
        <w:t>成功</w:t>
      </w:r>
      <w:r>
        <w:rPr>
          <w:rFonts w:hint="eastAsia" w:asciiTheme="minorEastAsia" w:hAnsiTheme="minorEastAsia"/>
          <w:b/>
          <w:bCs/>
        </w:rPr>
        <w:t>购买之日的次月1</w:t>
      </w:r>
      <w:r>
        <w:rPr>
          <w:rFonts w:asciiTheme="minorEastAsia" w:hAnsiTheme="minorEastAsia"/>
          <w:b/>
          <w:bCs/>
        </w:rPr>
        <w:t>0</w:t>
      </w:r>
      <w:r>
        <w:rPr>
          <w:rFonts w:hint="eastAsia" w:asciiTheme="minorEastAsia" w:hAnsiTheme="minorEastAsia"/>
          <w:b/>
          <w:bCs/>
        </w:rPr>
        <w:t>日凌晨生效，零起点消费短信提醒服务、免除补制账单手续费服务自</w:t>
      </w:r>
      <w:r>
        <w:rPr>
          <w:rFonts w:hint="eastAsia" w:asciiTheme="minorEastAsia" w:hAnsiTheme="minorEastAsia"/>
          <w:b/>
          <w:bCs/>
          <w:lang w:val="en-US" w:eastAsia="zh-CN"/>
        </w:rPr>
        <w:t>成功</w:t>
      </w:r>
      <w:r>
        <w:rPr>
          <w:rFonts w:hint="eastAsia" w:asciiTheme="minorEastAsia" w:hAnsiTheme="minorEastAsia"/>
          <w:b/>
          <w:bCs/>
        </w:rPr>
        <w:t>购买之日起次日凌晨生效。</w:t>
      </w:r>
      <w:r>
        <w:rPr>
          <w:rFonts w:hint="eastAsia" w:asciiTheme="minorEastAsia" w:hAnsiTheme="minorEastAsia"/>
          <w:b/>
          <w:bCs/>
          <w:lang w:val="en-US" w:eastAsia="zh-CN"/>
        </w:rPr>
        <w:t>从生效日开始</w:t>
      </w:r>
      <w:r>
        <w:rPr>
          <w:rFonts w:hint="eastAsia" w:ascii="宋体" w:hAnsi="宋体" w:eastAsia="宋体" w:cs="宋体"/>
          <w:b/>
          <w:bCs/>
          <w:i w:val="0"/>
          <w:caps w:val="0"/>
          <w:color w:val="000000"/>
          <w:spacing w:val="0"/>
          <w:sz w:val="21"/>
          <w:szCs w:val="21"/>
        </w:rPr>
        <w:t>有效期为一年</w:t>
      </w:r>
      <w:r>
        <w:rPr>
          <w:rFonts w:hint="eastAsia" w:ascii="宋体" w:hAnsi="宋体" w:eastAsia="宋体" w:cs="宋体"/>
          <w:b/>
          <w:bCs/>
          <w:i w:val="0"/>
          <w:caps w:val="0"/>
          <w:color w:val="000000"/>
          <w:spacing w:val="0"/>
          <w:sz w:val="21"/>
          <w:szCs w:val="21"/>
          <w:lang w:eastAsia="zh-CN"/>
        </w:rPr>
        <w:t>，</w:t>
      </w:r>
      <w:r>
        <w:rPr>
          <w:rFonts w:hint="eastAsia" w:ascii="宋体" w:hAnsi="宋体" w:eastAsia="宋体" w:cs="宋体"/>
          <w:b/>
          <w:bCs/>
          <w:i w:val="0"/>
          <w:caps w:val="0"/>
          <w:color w:val="000000"/>
          <w:spacing w:val="0"/>
          <w:sz w:val="21"/>
          <w:szCs w:val="21"/>
          <w:lang w:val="en-US" w:eastAsia="zh-CN"/>
        </w:rPr>
        <w:t>以持卡人购买产品的具体期限为准</w:t>
      </w:r>
      <w:r>
        <w:rPr>
          <w:rFonts w:hint="eastAsia" w:ascii="宋体" w:hAnsi="宋体" w:eastAsia="宋体" w:cs="宋体"/>
          <w:i w:val="0"/>
          <w:caps w:val="0"/>
          <w:color w:val="000000"/>
          <w:spacing w:val="0"/>
          <w:sz w:val="21"/>
          <w:szCs w:val="21"/>
        </w:rPr>
        <w:t>。</w:t>
      </w:r>
    </w:p>
    <w:p>
      <w:pPr>
        <w:ind w:left="2" w:leftChars="1" w:firstLine="422" w:firstLineChars="200"/>
        <w:jc w:val="left"/>
        <w:rPr>
          <w:rFonts w:asciiTheme="minorEastAsia" w:hAnsiTheme="minorEastAsia"/>
          <w:b/>
          <w:bCs/>
        </w:rPr>
      </w:pPr>
      <w:r>
        <w:rPr>
          <w:rFonts w:hint="eastAsia" w:asciiTheme="minorEastAsia" w:hAnsiTheme="minorEastAsia"/>
          <w:b/>
          <w:bCs/>
        </w:rPr>
        <w:t>（二）“如意宝”优选增值服务产品到期后，若持卡人未主动退订该增值服务，为了保证服务权益的延续性，则服务权益将自动续期，</w:t>
      </w:r>
      <w:r>
        <w:rPr>
          <w:rFonts w:hint="eastAsia" w:ascii="Times New Roman" w:hAnsi="Times New Roman" w:eastAsia="宋体" w:cs="Times New Roman"/>
          <w:b/>
          <w:bCs/>
          <w:sz w:val="21"/>
          <w:szCs w:val="24"/>
          <w:highlight w:val="none"/>
        </w:rPr>
        <w:t>产品到期前，</w:t>
      </w:r>
      <w:r>
        <w:rPr>
          <w:rFonts w:hint="eastAsia" w:ascii="Times New Roman" w:hAnsi="Times New Roman" w:eastAsia="宋体" w:cs="Times New Roman"/>
          <w:b/>
          <w:bCs/>
          <w:sz w:val="21"/>
          <w:szCs w:val="24"/>
          <w:highlight w:val="none"/>
          <w:lang w:eastAsia="zh-CN"/>
        </w:rPr>
        <w:t>卡中心将</w:t>
      </w:r>
      <w:r>
        <w:rPr>
          <w:rFonts w:hint="eastAsia" w:ascii="Times New Roman" w:hAnsi="Times New Roman" w:eastAsia="宋体" w:cs="Times New Roman"/>
          <w:b/>
          <w:bCs/>
          <w:sz w:val="21"/>
          <w:szCs w:val="24"/>
          <w:highlight w:val="none"/>
        </w:rPr>
        <w:t>发送</w:t>
      </w:r>
      <w:r>
        <w:rPr>
          <w:rFonts w:hint="eastAsia" w:ascii="Times New Roman" w:hAnsi="Times New Roman" w:eastAsia="宋体" w:cs="Times New Roman"/>
          <w:b/>
          <w:bCs/>
          <w:sz w:val="21"/>
          <w:szCs w:val="24"/>
          <w:highlight w:val="none"/>
          <w:lang w:eastAsia="zh-CN"/>
        </w:rPr>
        <w:t>续期</w:t>
      </w:r>
      <w:r>
        <w:rPr>
          <w:rFonts w:hint="eastAsia" w:ascii="Times New Roman" w:hAnsi="Times New Roman" w:eastAsia="宋体" w:cs="Times New Roman"/>
          <w:b/>
          <w:bCs/>
          <w:sz w:val="21"/>
          <w:szCs w:val="24"/>
          <w:highlight w:val="none"/>
        </w:rPr>
        <w:t>提示短信</w:t>
      </w:r>
      <w:r>
        <w:rPr>
          <w:rFonts w:hint="eastAsia" w:ascii="Times New Roman" w:hAnsi="Times New Roman" w:eastAsia="宋体" w:cs="Times New Roman"/>
          <w:b/>
          <w:bCs/>
          <w:highlight w:val="none"/>
        </w:rPr>
        <w:t>。</w:t>
      </w:r>
      <w:r>
        <w:rPr>
          <w:rFonts w:hint="eastAsia" w:asciiTheme="minorEastAsia" w:hAnsiTheme="minorEastAsia"/>
          <w:b/>
          <w:bCs/>
        </w:rPr>
        <w:t>卡中心将于服务到期后的3个自然日内从持卡人信用卡账户中扣除续期的服务费用。若持卡人需退订该增值服务，请致电卡中心客服热线4</w:t>
      </w:r>
      <w:r>
        <w:rPr>
          <w:rFonts w:asciiTheme="minorEastAsia" w:hAnsiTheme="minorEastAsia"/>
          <w:b/>
          <w:bCs/>
        </w:rPr>
        <w:t>0088</w:t>
      </w:r>
      <w:r>
        <w:rPr>
          <w:rFonts w:hint="eastAsia" w:asciiTheme="minorEastAsia" w:hAnsiTheme="minorEastAsia"/>
          <w:b/>
          <w:bCs/>
        </w:rPr>
        <w:t>-</w:t>
      </w:r>
      <w:r>
        <w:rPr>
          <w:rFonts w:asciiTheme="minorEastAsia" w:hAnsiTheme="minorEastAsia"/>
          <w:b/>
          <w:bCs/>
        </w:rPr>
        <w:t>95558</w:t>
      </w:r>
      <w:r>
        <w:rPr>
          <w:rFonts w:hint="eastAsia" w:asciiTheme="minorEastAsia" w:hAnsiTheme="minorEastAsia"/>
          <w:b/>
          <w:bCs/>
        </w:rPr>
        <w:t>申请办理。</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 “如意宝”优选增值服务产品费用，按户计收，每位主卡持卡人（无论持有几张主卡）仅限订购一份，若一位主卡持卡人订购多份同款优选增值服务产品也仅能享受一份该款优选增值服务的功能。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（二）仅限主卡持卡人订购“如意宝”优选增值服务产品。</w:t>
      </w:r>
    </w:p>
    <w:p>
      <w:pPr>
        <w:ind w:left="2" w:leftChars="1" w:firstLine="420" w:firstLineChars="200"/>
        <w:jc w:val="left"/>
        <w:rPr>
          <w:rFonts w:asciiTheme="minorEastAsia" w:hAnsiTheme="minorEastAsia"/>
        </w:rPr>
      </w:pPr>
      <w:r>
        <w:rPr>
          <w:rFonts w:hint="eastAsia" w:asciiTheme="minorEastAsia" w:hAnsiTheme="minorEastAsia"/>
        </w:rPr>
        <w:t>（三）“如意宝”优选增值服务产品价格，以卡中心公告为准。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w:t>
      </w:r>
      <w:r>
        <w:rPr>
          <w:rFonts w:hint="eastAsia" w:asciiTheme="minorEastAsia" w:hAnsiTheme="minorEastAsia"/>
          <w:lang w:val="en-US" w:eastAsia="zh-CN"/>
        </w:rPr>
        <w:t>本</w:t>
      </w:r>
      <w:r>
        <w:rPr>
          <w:rFonts w:hint="eastAsia" w:asciiTheme="minorEastAsia" w:hAnsiTheme="minorEastAsia"/>
        </w:rPr>
        <w:t>产品，则已收取的产品费用不予退还，服务将提供到原订购周期的截止日结束。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w:t>
      </w:r>
      <w:r>
        <w:rPr>
          <w:rFonts w:hint="eastAsia" w:asciiTheme="minorEastAsia" w:hAnsiTheme="minorEastAsia"/>
          <w:lang w:val="en-US" w:eastAsia="zh-CN"/>
        </w:rPr>
        <w:t>本</w:t>
      </w:r>
      <w:r>
        <w:rPr>
          <w:rFonts w:hint="eastAsia" w:asciiTheme="minorEastAsia" w:hAnsiTheme="minorEastAsia"/>
        </w:rPr>
        <w:t>产品所扣取的费用记入持卡人指定的信用卡当期对账单，由持卡人在账单显示的还款期内正常还款。</w:t>
      </w:r>
    </w:p>
    <w:p>
      <w:pPr>
        <w:ind w:left="2" w:leftChars="1" w:firstLine="420" w:firstLineChars="200"/>
        <w:jc w:val="left"/>
        <w:rPr>
          <w:rFonts w:asciiTheme="minorEastAsia" w:hAnsiTheme="minorEastAsia"/>
        </w:rPr>
      </w:pPr>
      <w:r>
        <w:rPr>
          <w:rFonts w:hint="eastAsia" w:asciiTheme="minorEastAsia" w:hAnsiTheme="minorEastAsia"/>
        </w:rPr>
        <w:t>（六）</w:t>
      </w:r>
      <w:r>
        <w:rPr>
          <w:rFonts w:hint="eastAsia" w:asciiTheme="minorEastAsia" w:hAnsiTheme="minorEastAsia"/>
          <w:b/>
          <w:bCs/>
          <w:lang w:val="en-US" w:eastAsia="zh-CN"/>
        </w:rPr>
        <w:t>本</w:t>
      </w:r>
      <w:r>
        <w:rPr>
          <w:rFonts w:hint="eastAsia" w:asciiTheme="minorEastAsia" w:hAnsiTheme="minorEastAsia"/>
          <w:b/>
          <w:bCs/>
        </w:rPr>
        <w:t>产品附赠的保险权益，仅限投保年龄为1</w:t>
      </w:r>
      <w:r>
        <w:rPr>
          <w:rFonts w:asciiTheme="minorEastAsia" w:hAnsiTheme="minorEastAsia"/>
          <w:b/>
          <w:bCs/>
        </w:rPr>
        <w:t>6</w:t>
      </w:r>
      <w:r>
        <w:rPr>
          <w:rFonts w:hint="eastAsia" w:asciiTheme="minorEastAsia" w:hAnsiTheme="minorEastAsia"/>
          <w:b/>
          <w:bCs/>
        </w:rPr>
        <w:t>-</w:t>
      </w:r>
      <w:r>
        <w:rPr>
          <w:rFonts w:asciiTheme="minorEastAsia" w:hAnsiTheme="minorEastAsia"/>
          <w:b/>
          <w:bCs/>
        </w:rPr>
        <w:t>75</w:t>
      </w:r>
      <w:r>
        <w:rPr>
          <w:rFonts w:hint="eastAsia" w:asciiTheme="minorEastAsia" w:hAnsiTheme="minorEastAsia"/>
          <w:b/>
          <w:bCs/>
        </w:rPr>
        <w:t>周岁持卡人，若</w:t>
      </w:r>
      <w:r>
        <w:rPr>
          <w:rFonts w:hint="eastAsia" w:asciiTheme="minorEastAsia" w:hAnsiTheme="minorEastAsia"/>
          <w:b/>
          <w:bCs/>
          <w:lang w:val="en-US" w:eastAsia="zh-CN"/>
        </w:rPr>
        <w:t>持卡人</w:t>
      </w:r>
      <w:r>
        <w:rPr>
          <w:rFonts w:hint="eastAsia" w:asciiTheme="minorEastAsia" w:hAnsiTheme="minorEastAsia"/>
          <w:b/>
          <w:bCs/>
        </w:rPr>
        <w:t>超过</w:t>
      </w:r>
      <w:r>
        <w:rPr>
          <w:rFonts w:asciiTheme="minorEastAsia" w:hAnsiTheme="minorEastAsia"/>
          <w:b/>
          <w:bCs/>
        </w:rPr>
        <w:t>75</w:t>
      </w:r>
      <w:r>
        <w:rPr>
          <w:rFonts w:hint="eastAsia" w:asciiTheme="minorEastAsia" w:hAnsiTheme="minorEastAsia"/>
          <w:b/>
          <w:bCs/>
        </w:rPr>
        <w:t>周岁，</w:t>
      </w:r>
      <w:r>
        <w:rPr>
          <w:rFonts w:hint="eastAsia" w:asciiTheme="minorEastAsia" w:hAnsiTheme="minorEastAsia"/>
          <w:b/>
          <w:bCs/>
          <w:lang w:val="en-US" w:eastAsia="zh-CN"/>
        </w:rPr>
        <w:t>卡中心</w:t>
      </w:r>
      <w:r>
        <w:rPr>
          <w:rFonts w:hint="eastAsia" w:asciiTheme="minorEastAsia" w:hAnsiTheme="minorEastAsia"/>
          <w:b/>
          <w:bCs/>
        </w:rPr>
        <w:t>不再扣取</w:t>
      </w:r>
      <w:r>
        <w:rPr>
          <w:rFonts w:hint="eastAsia" w:asciiTheme="minorEastAsia" w:hAnsiTheme="minorEastAsia"/>
          <w:b/>
          <w:bCs/>
          <w:lang w:val="en-US" w:eastAsia="zh-CN"/>
        </w:rPr>
        <w:t>产品</w:t>
      </w:r>
      <w:r>
        <w:rPr>
          <w:rFonts w:hint="eastAsia" w:asciiTheme="minorEastAsia" w:hAnsiTheme="minorEastAsia"/>
          <w:b/>
          <w:bCs/>
        </w:rPr>
        <w:t>费用，本产品及附赠保险保障权益自动失效。</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（一）卡中心有权在不对持卡人权益造成不利影响的前提下，不时调整承保</w:t>
      </w:r>
      <w:r>
        <w:rPr>
          <w:rFonts w:hint="eastAsia" w:asciiTheme="minorEastAsia" w:hAnsiTheme="minorEastAsia"/>
          <w:lang w:val="en-US" w:eastAsia="zh-CN"/>
        </w:rPr>
        <w:t>本</w:t>
      </w:r>
      <w:r>
        <w:rPr>
          <w:rFonts w:hint="eastAsia" w:asciiTheme="minorEastAsia" w:hAnsiTheme="minorEastAsia"/>
        </w:rPr>
        <w:t>产品附赠保险权益的保险公司，并以网站公告或短信提示等方式通知持卡人</w:t>
      </w:r>
      <w:r>
        <w:rPr>
          <w:rFonts w:hint="eastAsia" w:asciiTheme="minorEastAsia" w:hAnsiTheme="minorEastAsia"/>
          <w:highlight w:val="none"/>
          <w:lang w:eastAsia="zh-CN"/>
        </w:rPr>
        <w:t>，</w:t>
      </w:r>
      <w:r>
        <w:rPr>
          <w:rFonts w:hint="eastAsia" w:asciiTheme="minorEastAsia" w:hAnsiTheme="minorEastAsia"/>
          <w:highlight w:val="none"/>
        </w:rPr>
        <w:t>持卡人确认对通知方式无异议</w:t>
      </w:r>
      <w:r>
        <w:rPr>
          <w:rFonts w:hint="eastAsia" w:asciiTheme="minorEastAsia" w:hAnsiTheme="minorEastAsia"/>
        </w:rPr>
        <w:t>。</w:t>
      </w:r>
    </w:p>
    <w:p>
      <w:pPr>
        <w:widowControl/>
        <w:numPr>
          <w:ilvl w:val="-1"/>
          <w:numId w:val="0"/>
        </w:numPr>
        <w:ind w:firstLine="420"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服务办理过程中填写的信息真实有效。如</w:t>
      </w:r>
      <w:r>
        <w:rPr>
          <w:rFonts w:hint="eastAsia" w:asciiTheme="minorEastAsia" w:hAnsiTheme="minorEastAsia"/>
          <w:b/>
          <w:bCs/>
          <w:lang w:val="en-US" w:eastAsia="zh-CN"/>
        </w:rPr>
        <w:t>持卡人</w:t>
      </w:r>
      <w:r>
        <w:rPr>
          <w:rFonts w:hint="eastAsia" w:asciiTheme="minorEastAsia" w:hAnsiTheme="minorEastAsia"/>
          <w:b/>
          <w:bCs/>
        </w:rPr>
        <w:t>的个人信息发生改变，请及时拨打客服热线40088-95558进行更新。为了帮助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根据监管的要求，</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给到卡中心合作的承保保险公司</w:t>
      </w:r>
      <w:r>
        <w:rPr>
          <w:rStyle w:val="14"/>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4"/>
          <w:rFonts w:hint="eastAsia" w:cstheme="minorBidi"/>
          <w:b/>
          <w:bCs/>
          <w:i w:val="0"/>
          <w:iCs w:val="0"/>
          <w:caps w:val="0"/>
          <w:color w:val="auto"/>
          <w:spacing w:val="0"/>
          <w:sz w:val="21"/>
          <w:szCs w:val="24"/>
          <w:shd w:val="clear" w:fill="FFFFFF"/>
          <w:lang w:val="en-US" w:eastAsia="zh-CN" w:bidi="ar"/>
        </w:rPr>
        <w:t>服务</w:t>
      </w:r>
      <w:r>
        <w:rPr>
          <w:rStyle w:val="14"/>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ind w:firstLine="420" w:firstLineChars="200"/>
        <w:jc w:val="left"/>
        <w:rPr>
          <w:rFonts w:hint="eastAsia" w:asciiTheme="minorEastAsia" w:hAnsiTheme="minorEastAsia"/>
        </w:rPr>
      </w:pPr>
      <w:r>
        <w:rPr>
          <w:rFonts w:hint="eastAsia" w:asciiTheme="minorEastAsia" w:hAnsiTheme="minorEastAsia"/>
        </w:rPr>
        <w:t>（三）</w:t>
      </w:r>
      <w:bookmarkStart w:id="6" w:name="_Hlk122683016"/>
      <w:r>
        <w:rPr>
          <w:b/>
          <w:bCs/>
        </w:rPr>
        <w:t>在法律及监管法规允许的前提下，</w:t>
      </w:r>
      <w:r>
        <w:rPr>
          <w:rFonts w:hint="eastAsia" w:ascii="宋体" w:hAnsi="宋体"/>
          <w:b/>
          <w:bCs/>
        </w:rPr>
        <w:t>卡中心保留</w:t>
      </w:r>
      <w:r>
        <w:rPr>
          <w:b/>
          <w:bCs/>
        </w:rPr>
        <w:t>受理及终止上述</w:t>
      </w:r>
      <w:r>
        <w:rPr>
          <w:rFonts w:hint="eastAsia"/>
          <w:b/>
          <w:bCs/>
          <w:lang w:val="en-US" w:eastAsia="zh-CN"/>
        </w:rPr>
        <w:t>产品</w:t>
      </w:r>
      <w:r>
        <w:rPr>
          <w:rFonts w:hint="eastAsia"/>
          <w:b/>
          <w:bCs/>
          <w:lang w:eastAsia="zh-CN"/>
        </w:rPr>
        <w:t>，</w:t>
      </w:r>
      <w:r>
        <w:rPr>
          <w:b/>
          <w:bCs/>
        </w:rPr>
        <w:t>对</w:t>
      </w:r>
      <w:r>
        <w:rPr>
          <w:rFonts w:hint="eastAsia"/>
          <w:b/>
          <w:bCs/>
          <w:lang w:val="en-US" w:eastAsia="zh-CN"/>
        </w:rPr>
        <w:t>产品</w:t>
      </w:r>
      <w:r>
        <w:rPr>
          <w:b/>
          <w:bCs/>
        </w:rPr>
        <w:t>条款进行修改（包括但不限于延迟或提前终止本</w:t>
      </w:r>
      <w:r>
        <w:rPr>
          <w:rFonts w:hint="eastAsia"/>
          <w:b/>
          <w:bCs/>
          <w:lang w:val="en-US" w:eastAsia="zh-CN"/>
        </w:rPr>
        <w:t>产品</w:t>
      </w:r>
      <w:r>
        <w:rPr>
          <w:b/>
          <w:bCs/>
        </w:rPr>
        <w:t>、更换同等价值</w:t>
      </w:r>
      <w:r>
        <w:rPr>
          <w:rFonts w:hint="eastAsia"/>
          <w:b/>
          <w:bCs/>
          <w:lang w:val="en-US" w:eastAsia="zh-CN"/>
        </w:rPr>
        <w:t>产</w:t>
      </w:r>
      <w:r>
        <w:rPr>
          <w:b/>
          <w:bCs/>
        </w:rPr>
        <w:t>品等）</w:t>
      </w:r>
      <w:r>
        <w:rPr>
          <w:rFonts w:hint="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通知持卡人下述修改事项：</w:t>
      </w:r>
      <w:r>
        <w:rPr>
          <w:rFonts w:hint="eastAsia" w:asciiTheme="minorEastAsia" w:hAnsiTheme="minorEastAsia"/>
          <w:b/>
          <w:bCs/>
          <w:lang w:val="en-US" w:eastAsia="zh-CN"/>
        </w:rPr>
        <w:t>提供服务</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，并按照规定办理退订手续。否则视为持卡人同意该等修改，修改后的内容对持卡人具有法律约束力。</w:t>
      </w:r>
      <w:bookmarkEnd w:id="6"/>
    </w:p>
    <w:p>
      <w:pPr>
        <w:ind w:firstLine="420" w:firstLineChars="200"/>
        <w:jc w:val="left"/>
        <w:rPr>
          <w:rFonts w:asciiTheme="minorEastAsia" w:hAnsiTheme="minorEastAsia"/>
        </w:rPr>
      </w:pPr>
      <w:r>
        <w:rPr>
          <w:rFonts w:hint="eastAsia" w:asciiTheme="minorEastAsia" w:hAnsiTheme="minorEastAsia"/>
        </w:rPr>
        <w:t>（四）如持卡人在进行“如意宝”优选增值服务附赠的保险权益索赔的过程中有任何欺诈或违反诚实信用原则的行为，卡中心有权依照相关信用卡章程和领用合约，中止或终止其信用卡账户或者取消其用卡资格；构成违法犯罪行为的，卡中心保留采取进一步法律行动（包括但不限于向司法机关举报）的权利。</w:t>
      </w:r>
    </w:p>
    <w:p>
      <w:pPr>
        <w:ind w:firstLine="420" w:firstLineChars="200"/>
        <w:jc w:val="left"/>
      </w:pPr>
      <w:r>
        <w:rPr>
          <w:rFonts w:hint="eastAsia" w:asciiTheme="minorEastAsia" w:hAnsiTheme="minorEastAsia"/>
        </w:rPr>
        <w:t>（五）</w:t>
      </w:r>
      <w:r>
        <w:rPr>
          <w:rFonts w:hint="eastAsia" w:asciiTheme="minorEastAsia" w:hAnsiTheme="minorEastAsia"/>
          <w:b/>
          <w:bCs/>
        </w:rPr>
        <w:t>附赠的保险权益由太平财产保险有限公司</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b/>
          <w:bCs/>
        </w:rPr>
        <w:t>提供，卡中心不对保险服务及理赔事宜提供任何保证或承担任何责任。请购买产品的持卡人认真阅读相应保险条款。</w:t>
      </w:r>
      <w:r>
        <w:rPr>
          <w:rFonts w:hint="eastAsia" w:asciiTheme="minorEastAsia" w:hAnsiTheme="minorEastAsia"/>
          <w:b/>
          <w:bCs/>
          <w:lang w:val="en-US" w:eastAsia="zh-CN"/>
        </w:rPr>
        <w:t>本细则中的相关保险条款可能存在滞后性，具体以承保保险公司提供为准。</w:t>
      </w:r>
    </w:p>
    <w:p>
      <w:pPr>
        <w:ind w:firstLine="420" w:firstLineChars="200"/>
        <w:jc w:val="left"/>
        <w:rPr>
          <w:rFonts w:hint="eastAsia" w:ascii="宋体" w:hAnsi="宋体" w:eastAsia="宋体" w:cs="宋体"/>
          <w:i w:val="0"/>
          <w:caps w:val="0"/>
          <w:color w:val="000000"/>
          <w:spacing w:val="0"/>
          <w:sz w:val="21"/>
          <w:szCs w:val="21"/>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w:t>
      </w:r>
      <w:r>
        <w:rPr>
          <w:rFonts w:hint="eastAsia" w:ascii="宋体" w:hAnsi="宋体" w:eastAsia="宋体" w:cs="宋体"/>
          <w:i w:val="0"/>
          <w:caps w:val="0"/>
          <w:color w:val="000000"/>
          <w:spacing w:val="0"/>
          <w:sz w:val="21"/>
          <w:szCs w:val="21"/>
        </w:rPr>
        <w:t>本</w:t>
      </w:r>
      <w:r>
        <w:rPr>
          <w:rFonts w:hint="eastAsia" w:ascii="宋体" w:hAnsi="宋体" w:eastAsia="宋体" w:cs="宋体"/>
          <w:i w:val="0"/>
          <w:caps w:val="0"/>
          <w:color w:val="000000"/>
          <w:spacing w:val="0"/>
          <w:sz w:val="21"/>
          <w:szCs w:val="21"/>
          <w:lang w:val="en-US" w:eastAsia="zh-CN"/>
        </w:rPr>
        <w:t>细则</w:t>
      </w:r>
      <w:r>
        <w:rPr>
          <w:rFonts w:hint="eastAsia" w:ascii="宋体" w:hAnsi="宋体" w:eastAsia="宋体" w:cs="宋体"/>
          <w:i w:val="0"/>
          <w:caps w:val="0"/>
          <w:color w:val="000000"/>
          <w:spacing w:val="0"/>
          <w:sz w:val="21"/>
          <w:szCs w:val="21"/>
        </w:rPr>
        <w:t>未尽事项，依据《中信银行信用卡（个人卡）领用合约》、银行业监管规定、银行业务规定及金融惯例等有关规定办理。　</w:t>
      </w:r>
    </w:p>
    <w:p>
      <w:pPr>
        <w:ind w:firstLine="420" w:firstLineChars="200"/>
        <w:jc w:val="left"/>
        <w:rPr>
          <w:rFonts w:hint="eastAsia" w:asciiTheme="minorEastAsia" w:hAnsiTheme="minorEastAsia"/>
        </w:rPr>
      </w:pP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lang w:val="en-US" w:eastAsia="zh-CN"/>
        </w:rPr>
        <w:t>七</w:t>
      </w:r>
      <w:r>
        <w:rPr>
          <w:rFonts w:hint="eastAsia" w:ascii="宋体" w:hAnsi="宋体" w:eastAsia="宋体" w:cs="宋体"/>
          <w:i w:val="0"/>
          <w:caps w:val="0"/>
          <w:color w:val="000000"/>
          <w:spacing w:val="0"/>
          <w:sz w:val="21"/>
          <w:szCs w:val="21"/>
          <w:lang w:eastAsia="zh-CN"/>
        </w:rPr>
        <w:t>）</w:t>
      </w:r>
      <w:r>
        <w:rPr>
          <w:rFonts w:hint="eastAsia" w:asciiTheme="minorEastAsia" w:hAnsiTheme="minorEastAsia"/>
        </w:rPr>
        <w:t>在法律法规许可范围内，卡中心</w:t>
      </w:r>
      <w:r>
        <w:rPr>
          <w:rFonts w:hint="eastAsia" w:asciiTheme="minorEastAsia" w:hAnsiTheme="minorEastAsia"/>
          <w:lang w:val="en-US" w:eastAsia="zh-CN"/>
        </w:rPr>
        <w:t>可</w:t>
      </w:r>
      <w:r>
        <w:rPr>
          <w:rFonts w:hint="eastAsia" w:asciiTheme="minorEastAsia" w:hAnsiTheme="minorEastAsia"/>
        </w:rPr>
        <w:t>对本</w:t>
      </w:r>
      <w:r>
        <w:rPr>
          <w:rFonts w:hint="eastAsia" w:asciiTheme="minorEastAsia" w:hAnsiTheme="minorEastAsia"/>
          <w:lang w:val="en-US" w:eastAsia="zh-CN"/>
        </w:rPr>
        <w:t>细则予以</w:t>
      </w:r>
      <w:r>
        <w:rPr>
          <w:rFonts w:hint="eastAsia" w:asciiTheme="minorEastAsia" w:hAnsiTheme="minorEastAsia"/>
        </w:rPr>
        <w:t>解释，咨询（投诉）电话40088-95558。</w:t>
      </w:r>
    </w:p>
    <w:p>
      <w:pPr>
        <w:pStyle w:val="10"/>
        <w:widowControl/>
        <w:spacing w:line="240" w:lineRule="auto"/>
        <w:ind w:firstLine="632" w:firstLineChars="300"/>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已详尽阅读并完全知晓、理解并承诺遵守本细则规定。</w:t>
      </w:r>
    </w:p>
    <w:p>
      <w:pPr>
        <w:ind w:firstLine="420" w:firstLineChars="200"/>
        <w:jc w:val="left"/>
        <w:rPr>
          <w:rFonts w:hint="eastAsia" w:asciiTheme="minorEastAsia" w:hAnsiTheme="minorEastAsia"/>
        </w:rPr>
      </w:pPr>
    </w:p>
    <w:p>
      <w:pPr>
        <w:ind w:firstLine="420" w:firstLineChars="200"/>
        <w:jc w:val="left"/>
        <w:rPr>
          <w:rFonts w:hint="eastAsia" w:asciiTheme="minorEastAsia" w:hAnsiTheme="minorEastAsia"/>
        </w:rPr>
      </w:pPr>
    </w:p>
    <w:p>
      <w:pPr>
        <w:jc w:val="left"/>
        <w:rPr>
          <w:rFonts w:hint="eastAsia" w:asciiTheme="minorEastAsia" w:hAnsiTheme="minorEastAsia"/>
          <w:highlight w:val="none"/>
        </w:rPr>
      </w:pPr>
      <w:r>
        <w:rPr>
          <w:rFonts w:hint="eastAsia" w:asciiTheme="minorEastAsia" w:hAnsiTheme="minorEastAsia"/>
          <w:highlight w:val="none"/>
        </w:rPr>
        <w:t>附件</w:t>
      </w:r>
    </w:p>
    <w:p>
      <w:pPr>
        <w:jc w:val="left"/>
        <w:rPr>
          <w:rFonts w:hint="eastAsia" w:asciiTheme="minorEastAsia" w:hAnsiTheme="minorEastAsia"/>
          <w:color w:val="0000FF"/>
          <w:highlight w:val="none"/>
        </w:rPr>
      </w:pPr>
      <w:r>
        <w:rPr>
          <w:rFonts w:hint="default" w:asciiTheme="minorEastAsia" w:hAnsiTheme="minorEastAsia"/>
          <w:color w:val="0000FF"/>
          <w:highlight w:val="none"/>
        </w:rPr>
        <w:fldChar w:fldCharType="begin"/>
      </w:r>
      <w:r>
        <w:rPr>
          <w:rFonts w:hint="default" w:asciiTheme="minorEastAsia" w:hAnsiTheme="minorEastAsia"/>
          <w:color w:val="0000FF"/>
          <w:highlight w:val="none"/>
        </w:rPr>
        <w:instrText xml:space="preserve"> HYPERLINK "https://creditcard.ecitic.com/tc/shangcheng/jiewuyou/x01.docx" </w:instrText>
      </w:r>
      <w:r>
        <w:rPr>
          <w:rFonts w:hint="default" w:asciiTheme="minorEastAsia" w:hAnsiTheme="minorEastAsia"/>
          <w:color w:val="0000FF"/>
          <w:highlight w:val="none"/>
        </w:rPr>
        <w:fldChar w:fldCharType="separate"/>
      </w:r>
      <w:r>
        <w:rPr>
          <w:rFonts w:hint="default" w:asciiTheme="minorEastAsia" w:hAnsiTheme="minorEastAsia"/>
          <w:color w:val="0000FF"/>
          <w:highlight w:val="none"/>
        </w:rPr>
        <w:t>附件1：中信银行信用卡中心“</w:t>
      </w:r>
      <w:r>
        <w:rPr>
          <w:rFonts w:hint="eastAsia" w:asciiTheme="minorEastAsia" w:hAnsiTheme="minorEastAsia"/>
          <w:color w:val="0000FF"/>
          <w:highlight w:val="none"/>
          <w:lang w:val="en-US" w:eastAsia="zh-CN"/>
        </w:rPr>
        <w:t>如意宝</w:t>
      </w:r>
      <w:r>
        <w:rPr>
          <w:rFonts w:hint="default" w:asciiTheme="minorEastAsia" w:hAnsiTheme="minorEastAsia"/>
          <w:color w:val="0000FF"/>
          <w:highlight w:val="none"/>
        </w:rPr>
        <w:t>”优选增值服务产品细则</w:t>
      </w:r>
      <w:r>
        <w:rPr>
          <w:rFonts w:hint="default" w:asciiTheme="minorEastAsia" w:hAnsiTheme="minorEastAsia"/>
          <w:color w:val="0000FF"/>
          <w:highlight w:val="none"/>
        </w:rPr>
        <w:fldChar w:fldCharType="end"/>
      </w:r>
    </w:p>
    <w:p>
      <w:pPr>
        <w:jc w:val="left"/>
        <w:rPr>
          <w:rFonts w:hint="eastAsia" w:asciiTheme="minorEastAsia" w:hAnsiTheme="minorEastAsia"/>
          <w:color w:val="0000FF"/>
          <w:highlight w:val="none"/>
        </w:rPr>
      </w:pPr>
      <w:r>
        <w:rPr>
          <w:rFonts w:hint="default" w:asciiTheme="minorEastAsia" w:hAnsiTheme="minorEastAsia"/>
          <w:color w:val="0000FF"/>
          <w:highlight w:val="none"/>
        </w:rPr>
        <w:t>附件2：重大疾病服务二次诊疗疾病列表</w:t>
      </w:r>
    </w:p>
    <w:p>
      <w:pPr>
        <w:jc w:val="left"/>
        <w:rPr>
          <w:rFonts w:hint="eastAsia" w:asciiTheme="minorEastAsia" w:hAnsiTheme="minorEastAsia"/>
          <w:color w:val="0000FF"/>
          <w:highlight w:val="none"/>
        </w:rPr>
      </w:pPr>
      <w:r>
        <w:rPr>
          <w:rFonts w:hint="default" w:asciiTheme="minorEastAsia" w:hAnsiTheme="minorEastAsia"/>
          <w:color w:val="0000FF"/>
          <w:highlight w:val="none"/>
        </w:rPr>
        <w:t>附件3：全球二次诊疗适用医疗机构清单</w:t>
      </w:r>
    </w:p>
    <w:p>
      <w:pPr>
        <w:jc w:val="left"/>
        <w:rPr>
          <w:rFonts w:hint="eastAsia" w:asciiTheme="minorEastAsia" w:hAnsiTheme="minorEastAsia"/>
          <w:color w:val="0000FF"/>
          <w:highlight w:val="none"/>
        </w:rPr>
      </w:pPr>
      <w:r>
        <w:rPr>
          <w:rFonts w:hint="default" w:asciiTheme="minorEastAsia" w:hAnsiTheme="minorEastAsia"/>
          <w:color w:val="0000FF"/>
          <w:highlight w:val="none"/>
        </w:rPr>
        <w:t>附件4：太平财产保险有限公司团体人身意外伤害保险（A版）条款</w:t>
      </w:r>
    </w:p>
    <w:p>
      <w:pPr>
        <w:jc w:val="left"/>
        <w:rPr>
          <w:rFonts w:hint="eastAsia" w:asciiTheme="minorEastAsia" w:hAnsiTheme="minorEastAsia"/>
          <w:color w:val="0000FF"/>
          <w:highlight w:val="none"/>
        </w:rPr>
      </w:pPr>
      <w:r>
        <w:rPr>
          <w:rFonts w:hint="default" w:asciiTheme="minorEastAsia" w:hAnsiTheme="minorEastAsia"/>
          <w:color w:val="0000FF"/>
          <w:highlight w:val="none"/>
        </w:rPr>
        <w:t>附件5：太平财产保险有限公司附加超龄人员扩展条款</w:t>
      </w:r>
    </w:p>
    <w:p>
      <w:pPr>
        <w:jc w:val="left"/>
        <w:rPr>
          <w:rFonts w:hint="eastAsia" w:asciiTheme="minorEastAsia" w:hAnsiTheme="minorEastAsia"/>
          <w:color w:val="0000FF"/>
          <w:highlight w:val="none"/>
        </w:rPr>
      </w:pPr>
      <w:r>
        <w:rPr>
          <w:rFonts w:hint="default" w:asciiTheme="minorEastAsia" w:hAnsiTheme="minorEastAsia"/>
          <w:color w:val="0000FF"/>
          <w:highlight w:val="none"/>
        </w:rPr>
        <w:t>附件6：太平财产保险有限公司附加意外伤害医疗保险(2019版）条款</w:t>
      </w:r>
    </w:p>
    <w:p>
      <w:pPr>
        <w:jc w:val="left"/>
        <w:rPr>
          <w:rFonts w:hint="default" w:asciiTheme="minorEastAsia" w:hAnsiTheme="minorEastAsia"/>
          <w:color w:val="0000FF"/>
          <w:highlight w:val="none"/>
        </w:rPr>
      </w:pPr>
      <w:r>
        <w:rPr>
          <w:rFonts w:hint="default" w:asciiTheme="minorEastAsia" w:hAnsiTheme="minorEastAsia"/>
          <w:color w:val="0000FF"/>
          <w:highlight w:val="none"/>
        </w:rPr>
        <w:t>附件7：太平财产保险有限公司疫苗接种意外伤害保险条款</w:t>
      </w:r>
    </w:p>
    <w:p>
      <w:pPr>
        <w:ind w:firstLine="0" w:firstLineChars="0"/>
        <w:jc w:val="left"/>
        <w:rPr>
          <w:rFonts w:hint="default" w:asciiTheme="minorEastAsia" w:hAnsiTheme="minorEastAsia"/>
          <w:color w:val="0000FF"/>
          <w:highlight w:val="none"/>
        </w:rPr>
      </w:pPr>
      <w:r>
        <w:rPr>
          <w:rFonts w:hint="default" w:asciiTheme="minorEastAsia" w:hAnsiTheme="minorEastAsia"/>
          <w:color w:val="0000FF"/>
          <w:highlight w:val="none"/>
        </w:rPr>
        <w:t>附件8：中国人民财产保险股份有限公司附加意外伤害住院医疗保险条款</w:t>
      </w:r>
    </w:p>
    <w:p>
      <w:pPr>
        <w:ind w:firstLine="0" w:firstLineChars="0"/>
        <w:jc w:val="left"/>
        <w:rPr>
          <w:rFonts w:hint="eastAsia" w:asciiTheme="minorEastAsia" w:hAnsiTheme="minorEastAsia"/>
          <w:color w:val="0000FF"/>
          <w:highlight w:val="none"/>
        </w:rPr>
      </w:pPr>
      <w:r>
        <w:rPr>
          <w:rFonts w:hint="eastAsia" w:asciiTheme="minorEastAsia" w:hAnsiTheme="minorEastAsia"/>
          <w:color w:val="0000FF"/>
          <w:highlight w:val="none"/>
        </w:rPr>
        <w:t>附件9：中国人民财产保险股份有限公司意外伤害保险（2022版）条款</w:t>
      </w:r>
    </w:p>
    <w:p>
      <w:pPr>
        <w:jc w:val="left"/>
        <w:rPr>
          <w:rFonts w:hint="eastAsia" w:asciiTheme="minorEastAsia" w:hAnsiTheme="minorEastAsia"/>
          <w:color w:val="0000FF"/>
          <w:highlight w:val="none"/>
        </w:rPr>
      </w:pPr>
      <w:bookmarkStart w:id="7" w:name="_GoBack"/>
      <w:r>
        <w:rPr>
          <w:rFonts w:hint="eastAsia" w:asciiTheme="minorEastAsia" w:hAnsiTheme="minorEastAsia"/>
          <w:color w:val="0000FF"/>
          <w:highlight w:val="none"/>
        </w:rPr>
        <w:t>附件10：中国人民财产保险股份有限公司预防接种医疗意外保险条款</w:t>
      </w:r>
    </w:p>
    <w:bookmarkEnd w:i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575E3"/>
    <w:multiLevelType w:val="singleLevel"/>
    <w:tmpl w:val="81D575E3"/>
    <w:lvl w:ilvl="0" w:tentative="0">
      <w:start w:val="1"/>
      <w:numFmt w:val="decimal"/>
      <w:lvlText w:val="%1)"/>
      <w:lvlJc w:val="left"/>
      <w:pPr>
        <w:ind w:left="425" w:hanging="425"/>
      </w:pPr>
      <w:rPr>
        <w:rFonts w:hint="default"/>
      </w:rPr>
    </w:lvl>
  </w:abstractNum>
  <w:abstractNum w:abstractNumId="1">
    <w:nsid w:val="938D7703"/>
    <w:multiLevelType w:val="singleLevel"/>
    <w:tmpl w:val="938D7703"/>
    <w:lvl w:ilvl="0" w:tentative="0">
      <w:start w:val="1"/>
      <w:numFmt w:val="decimalEnclosedCircleChinese"/>
      <w:suff w:val="nothing"/>
      <w:lvlText w:val="%1　"/>
      <w:lvlJc w:val="left"/>
      <w:pPr>
        <w:ind w:left="0" w:firstLine="400"/>
      </w:pPr>
      <w:rPr>
        <w:rFonts w:hint="eastAsia"/>
      </w:rPr>
    </w:lvl>
  </w:abstractNum>
  <w:abstractNum w:abstractNumId="2">
    <w:nsid w:val="96105EAC"/>
    <w:multiLevelType w:val="singleLevel"/>
    <w:tmpl w:val="96105EAC"/>
    <w:lvl w:ilvl="0" w:tentative="0">
      <w:start w:val="1"/>
      <w:numFmt w:val="decimal"/>
      <w:lvlText w:val="%1)"/>
      <w:lvlJc w:val="left"/>
      <w:pPr>
        <w:ind w:left="425" w:hanging="425"/>
      </w:pPr>
      <w:rPr>
        <w:rFonts w:hint="default"/>
      </w:rPr>
    </w:lvl>
  </w:abstractNum>
  <w:abstractNum w:abstractNumId="3">
    <w:nsid w:val="A29EB0CC"/>
    <w:multiLevelType w:val="singleLevel"/>
    <w:tmpl w:val="A29EB0CC"/>
    <w:lvl w:ilvl="0" w:tentative="0">
      <w:start w:val="1"/>
      <w:numFmt w:val="decimal"/>
      <w:suff w:val="nothing"/>
      <w:lvlText w:val="（%1）"/>
      <w:lvlJc w:val="left"/>
    </w:lvl>
  </w:abstractNum>
  <w:abstractNum w:abstractNumId="4">
    <w:nsid w:val="A35AD3BB"/>
    <w:multiLevelType w:val="singleLevel"/>
    <w:tmpl w:val="A35AD3BB"/>
    <w:lvl w:ilvl="0" w:tentative="0">
      <w:start w:val="3"/>
      <w:numFmt w:val="decimal"/>
      <w:lvlText w:val="%1."/>
      <w:lvlJc w:val="left"/>
      <w:pPr>
        <w:tabs>
          <w:tab w:val="left" w:pos="312"/>
        </w:tabs>
        <w:ind w:left="420" w:firstLine="0"/>
      </w:pPr>
    </w:lvl>
  </w:abstractNum>
  <w:abstractNum w:abstractNumId="5">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6">
    <w:nsid w:val="CB5B26DC"/>
    <w:multiLevelType w:val="singleLevel"/>
    <w:tmpl w:val="CB5B26DC"/>
    <w:lvl w:ilvl="0" w:tentative="0">
      <w:start w:val="1"/>
      <w:numFmt w:val="decimal"/>
      <w:lvlText w:val="%1)"/>
      <w:lvlJc w:val="left"/>
      <w:pPr>
        <w:ind w:left="425" w:hanging="425"/>
      </w:pPr>
      <w:rPr>
        <w:rFonts w:hint="default"/>
      </w:rPr>
    </w:lvl>
  </w:abstractNum>
  <w:abstractNum w:abstractNumId="7">
    <w:nsid w:val="CE7BB923"/>
    <w:multiLevelType w:val="singleLevel"/>
    <w:tmpl w:val="CE7BB923"/>
    <w:lvl w:ilvl="0" w:tentative="0">
      <w:start w:val="1"/>
      <w:numFmt w:val="decimal"/>
      <w:lvlText w:val="%1)"/>
      <w:lvlJc w:val="left"/>
      <w:pPr>
        <w:ind w:left="425" w:hanging="425"/>
      </w:pPr>
      <w:rPr>
        <w:rFonts w:hint="default"/>
      </w:rPr>
    </w:lvl>
  </w:abstractNum>
  <w:abstractNum w:abstractNumId="8">
    <w:nsid w:val="D415EC69"/>
    <w:multiLevelType w:val="singleLevel"/>
    <w:tmpl w:val="D415EC69"/>
    <w:lvl w:ilvl="0" w:tentative="0">
      <w:start w:val="1"/>
      <w:numFmt w:val="decimal"/>
      <w:lvlText w:val="%1)"/>
      <w:lvlJc w:val="left"/>
      <w:pPr>
        <w:ind w:left="425" w:hanging="425"/>
      </w:pPr>
      <w:rPr>
        <w:rFonts w:hint="default"/>
      </w:rPr>
    </w:lvl>
  </w:abstractNum>
  <w:abstractNum w:abstractNumId="9">
    <w:nsid w:val="DEE0CBE0"/>
    <w:multiLevelType w:val="singleLevel"/>
    <w:tmpl w:val="DEE0CBE0"/>
    <w:lvl w:ilvl="0" w:tentative="0">
      <w:start w:val="1"/>
      <w:numFmt w:val="decimal"/>
      <w:lvlText w:val="%1)"/>
      <w:lvlJc w:val="left"/>
      <w:pPr>
        <w:ind w:left="425" w:hanging="425"/>
      </w:pPr>
      <w:rPr>
        <w:rFonts w:hint="default"/>
      </w:rPr>
    </w:lvl>
  </w:abstractNum>
  <w:abstractNum w:abstractNumId="10">
    <w:nsid w:val="E0604F53"/>
    <w:multiLevelType w:val="singleLevel"/>
    <w:tmpl w:val="E0604F53"/>
    <w:lvl w:ilvl="0" w:tentative="0">
      <w:start w:val="1"/>
      <w:numFmt w:val="decimal"/>
      <w:lvlText w:val="%1)"/>
      <w:lvlJc w:val="left"/>
      <w:pPr>
        <w:ind w:left="425" w:hanging="425"/>
      </w:pPr>
      <w:rPr>
        <w:rFonts w:hint="default"/>
      </w:rPr>
    </w:lvl>
  </w:abstractNum>
  <w:abstractNum w:abstractNumId="11">
    <w:nsid w:val="E3188B1F"/>
    <w:multiLevelType w:val="singleLevel"/>
    <w:tmpl w:val="E3188B1F"/>
    <w:lvl w:ilvl="0" w:tentative="0">
      <w:start w:val="1"/>
      <w:numFmt w:val="decimal"/>
      <w:lvlText w:val="%1)"/>
      <w:lvlJc w:val="left"/>
      <w:pPr>
        <w:ind w:left="425" w:hanging="425"/>
      </w:pPr>
      <w:rPr>
        <w:rFonts w:hint="default"/>
      </w:rPr>
    </w:lvl>
  </w:abstractNum>
  <w:abstractNum w:abstractNumId="12">
    <w:nsid w:val="EE4573D9"/>
    <w:multiLevelType w:val="singleLevel"/>
    <w:tmpl w:val="EE4573D9"/>
    <w:lvl w:ilvl="0" w:tentative="0">
      <w:start w:val="1"/>
      <w:numFmt w:val="decimalEnclosedCircleChinese"/>
      <w:suff w:val="nothing"/>
      <w:lvlText w:val="%1　"/>
      <w:lvlJc w:val="left"/>
      <w:pPr>
        <w:ind w:left="0" w:firstLine="400"/>
      </w:pPr>
      <w:rPr>
        <w:rFonts w:hint="eastAsia"/>
      </w:rPr>
    </w:lvl>
  </w:abstractNum>
  <w:abstractNum w:abstractNumId="13">
    <w:nsid w:val="F8446008"/>
    <w:multiLevelType w:val="singleLevel"/>
    <w:tmpl w:val="F8446008"/>
    <w:lvl w:ilvl="0" w:tentative="0">
      <w:start w:val="1"/>
      <w:numFmt w:val="decimal"/>
      <w:lvlText w:val="%1)"/>
      <w:lvlJc w:val="left"/>
      <w:pPr>
        <w:ind w:left="425" w:hanging="425"/>
      </w:pPr>
      <w:rPr>
        <w:rFonts w:hint="default"/>
      </w:rPr>
    </w:lvl>
  </w:abstractNum>
  <w:abstractNum w:abstractNumId="14">
    <w:nsid w:val="FB1D2D6B"/>
    <w:multiLevelType w:val="singleLevel"/>
    <w:tmpl w:val="FB1D2D6B"/>
    <w:lvl w:ilvl="0" w:tentative="0">
      <w:start w:val="1"/>
      <w:numFmt w:val="decimal"/>
      <w:lvlText w:val="%1)"/>
      <w:lvlJc w:val="left"/>
      <w:pPr>
        <w:ind w:left="425" w:hanging="425"/>
      </w:pPr>
      <w:rPr>
        <w:rFonts w:hint="default"/>
      </w:rPr>
    </w:lvl>
  </w:abstractNum>
  <w:abstractNum w:abstractNumId="15">
    <w:nsid w:val="02F87FA4"/>
    <w:multiLevelType w:val="multilevel"/>
    <w:tmpl w:val="02F87FA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5748F21"/>
    <w:multiLevelType w:val="singleLevel"/>
    <w:tmpl w:val="05748F21"/>
    <w:lvl w:ilvl="0" w:tentative="0">
      <w:start w:val="1"/>
      <w:numFmt w:val="decimal"/>
      <w:lvlText w:val="%1)"/>
      <w:lvlJc w:val="left"/>
      <w:pPr>
        <w:ind w:left="425" w:hanging="425"/>
      </w:pPr>
      <w:rPr>
        <w:rFonts w:hint="default"/>
      </w:rPr>
    </w:lvl>
  </w:abstractNum>
  <w:abstractNum w:abstractNumId="17">
    <w:nsid w:val="17FE2ADF"/>
    <w:multiLevelType w:val="singleLevel"/>
    <w:tmpl w:val="17FE2ADF"/>
    <w:lvl w:ilvl="0" w:tentative="0">
      <w:start w:val="1"/>
      <w:numFmt w:val="decimal"/>
      <w:lvlText w:val="%1)"/>
      <w:lvlJc w:val="left"/>
      <w:pPr>
        <w:ind w:left="425" w:hanging="425"/>
      </w:pPr>
      <w:rPr>
        <w:rFonts w:hint="default"/>
      </w:rPr>
    </w:lvl>
  </w:abstractNum>
  <w:abstractNum w:abstractNumId="18">
    <w:nsid w:val="2C766509"/>
    <w:multiLevelType w:val="multilevel"/>
    <w:tmpl w:val="2C76650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04EA4AE"/>
    <w:multiLevelType w:val="singleLevel"/>
    <w:tmpl w:val="304EA4AE"/>
    <w:lvl w:ilvl="0" w:tentative="0">
      <w:start w:val="1"/>
      <w:numFmt w:val="decimalEnclosedCircleChinese"/>
      <w:suff w:val="nothing"/>
      <w:lvlText w:val="%1　"/>
      <w:lvlJc w:val="left"/>
      <w:pPr>
        <w:ind w:left="0" w:firstLine="400"/>
      </w:pPr>
      <w:rPr>
        <w:rFonts w:hint="eastAsia"/>
      </w:rPr>
    </w:lvl>
  </w:abstractNum>
  <w:abstractNum w:abstractNumId="20">
    <w:nsid w:val="41F1AED6"/>
    <w:multiLevelType w:val="singleLevel"/>
    <w:tmpl w:val="41F1AED6"/>
    <w:lvl w:ilvl="0" w:tentative="0">
      <w:start w:val="1"/>
      <w:numFmt w:val="decimal"/>
      <w:suff w:val="nothing"/>
      <w:lvlText w:val="（%1）"/>
      <w:lvlJc w:val="left"/>
    </w:lvl>
  </w:abstractNum>
  <w:abstractNum w:abstractNumId="21">
    <w:nsid w:val="445C10A8"/>
    <w:multiLevelType w:val="singleLevel"/>
    <w:tmpl w:val="445C10A8"/>
    <w:lvl w:ilvl="0" w:tentative="0">
      <w:start w:val="1"/>
      <w:numFmt w:val="decimal"/>
      <w:lvlText w:val="%1)"/>
      <w:lvlJc w:val="left"/>
      <w:pPr>
        <w:ind w:left="425" w:hanging="425"/>
      </w:pPr>
      <w:rPr>
        <w:rFonts w:hint="default"/>
      </w:rPr>
    </w:lvl>
  </w:abstractNum>
  <w:abstractNum w:abstractNumId="22">
    <w:nsid w:val="4AFB71E3"/>
    <w:multiLevelType w:val="singleLevel"/>
    <w:tmpl w:val="4AFB71E3"/>
    <w:lvl w:ilvl="0" w:tentative="0">
      <w:start w:val="1"/>
      <w:numFmt w:val="decimal"/>
      <w:lvlText w:val="%1)"/>
      <w:lvlJc w:val="left"/>
      <w:pPr>
        <w:ind w:left="425" w:hanging="425"/>
      </w:pPr>
      <w:rPr>
        <w:rFonts w:hint="default"/>
      </w:rPr>
    </w:lvl>
  </w:abstractNum>
  <w:abstractNum w:abstractNumId="23">
    <w:nsid w:val="4B136F04"/>
    <w:multiLevelType w:val="singleLevel"/>
    <w:tmpl w:val="4B136F04"/>
    <w:lvl w:ilvl="0" w:tentative="0">
      <w:start w:val="1"/>
      <w:numFmt w:val="decimal"/>
      <w:suff w:val="nothing"/>
      <w:lvlText w:val="（%1）"/>
      <w:lvlJc w:val="left"/>
    </w:lvl>
  </w:abstractNum>
  <w:abstractNum w:abstractNumId="24">
    <w:nsid w:val="4B7E9A9E"/>
    <w:multiLevelType w:val="singleLevel"/>
    <w:tmpl w:val="4B7E9A9E"/>
    <w:lvl w:ilvl="0" w:tentative="0">
      <w:start w:val="1"/>
      <w:numFmt w:val="decimal"/>
      <w:lvlText w:val="%1)"/>
      <w:lvlJc w:val="left"/>
      <w:pPr>
        <w:ind w:left="425" w:hanging="425"/>
      </w:pPr>
      <w:rPr>
        <w:rFonts w:hint="default"/>
      </w:rPr>
    </w:lvl>
  </w:abstractNum>
  <w:abstractNum w:abstractNumId="25">
    <w:nsid w:val="4F690D34"/>
    <w:multiLevelType w:val="singleLevel"/>
    <w:tmpl w:val="4F690D34"/>
    <w:lvl w:ilvl="0" w:tentative="0">
      <w:start w:val="1"/>
      <w:numFmt w:val="decimal"/>
      <w:lvlText w:val="%1)"/>
      <w:lvlJc w:val="left"/>
      <w:pPr>
        <w:ind w:left="425" w:hanging="425"/>
      </w:pPr>
      <w:rPr>
        <w:rFonts w:hint="default"/>
      </w:rPr>
    </w:lvl>
  </w:abstractNum>
  <w:abstractNum w:abstractNumId="26">
    <w:nsid w:val="52A3B162"/>
    <w:multiLevelType w:val="singleLevel"/>
    <w:tmpl w:val="52A3B162"/>
    <w:lvl w:ilvl="0" w:tentative="0">
      <w:start w:val="1"/>
      <w:numFmt w:val="decimal"/>
      <w:lvlText w:val="%1)"/>
      <w:lvlJc w:val="left"/>
      <w:pPr>
        <w:ind w:left="425" w:hanging="425"/>
      </w:pPr>
      <w:rPr>
        <w:rFonts w:hint="default"/>
      </w:rPr>
    </w:lvl>
  </w:abstractNum>
  <w:abstractNum w:abstractNumId="27">
    <w:nsid w:val="544243B4"/>
    <w:multiLevelType w:val="singleLevel"/>
    <w:tmpl w:val="544243B4"/>
    <w:lvl w:ilvl="0" w:tentative="0">
      <w:start w:val="1"/>
      <w:numFmt w:val="decimal"/>
      <w:lvlText w:val="%1)"/>
      <w:lvlJc w:val="left"/>
      <w:pPr>
        <w:ind w:left="425" w:hanging="425"/>
      </w:pPr>
      <w:rPr>
        <w:rFonts w:hint="default"/>
      </w:rPr>
    </w:lvl>
  </w:abstractNum>
  <w:abstractNum w:abstractNumId="28">
    <w:nsid w:val="5B1280B4"/>
    <w:multiLevelType w:val="singleLevel"/>
    <w:tmpl w:val="5B1280B4"/>
    <w:lvl w:ilvl="0" w:tentative="0">
      <w:start w:val="1"/>
      <w:numFmt w:val="chineseCounting"/>
      <w:suff w:val="nothing"/>
      <w:lvlText w:val="%1、"/>
      <w:lvlJc w:val="left"/>
      <w:rPr>
        <w:rFonts w:hint="eastAsia"/>
      </w:rPr>
    </w:lvl>
  </w:abstractNum>
  <w:abstractNum w:abstractNumId="29">
    <w:nsid w:val="612803A9"/>
    <w:multiLevelType w:val="singleLevel"/>
    <w:tmpl w:val="612803A9"/>
    <w:lvl w:ilvl="0" w:tentative="0">
      <w:start w:val="1"/>
      <w:numFmt w:val="decimalEnclosedCircleChinese"/>
      <w:suff w:val="nothing"/>
      <w:lvlText w:val="%1　"/>
      <w:lvlJc w:val="left"/>
      <w:pPr>
        <w:ind w:left="0" w:firstLine="400"/>
      </w:pPr>
      <w:rPr>
        <w:rFonts w:hint="eastAsia"/>
      </w:rPr>
    </w:lvl>
  </w:abstractNum>
  <w:abstractNum w:abstractNumId="30">
    <w:nsid w:val="61300030"/>
    <w:multiLevelType w:val="singleLevel"/>
    <w:tmpl w:val="61300030"/>
    <w:lvl w:ilvl="0" w:tentative="0">
      <w:start w:val="1"/>
      <w:numFmt w:val="decimal"/>
      <w:lvlText w:val="%1)"/>
      <w:lvlJc w:val="left"/>
      <w:pPr>
        <w:ind w:left="425" w:hanging="425"/>
      </w:pPr>
      <w:rPr>
        <w:rFonts w:hint="default"/>
      </w:rPr>
    </w:lvl>
  </w:abstractNum>
  <w:num w:numId="1">
    <w:abstractNumId w:val="28"/>
  </w:num>
  <w:num w:numId="2">
    <w:abstractNumId w:val="5"/>
  </w:num>
  <w:num w:numId="3">
    <w:abstractNumId w:val="4"/>
  </w:num>
  <w:num w:numId="4">
    <w:abstractNumId w:val="20"/>
  </w:num>
  <w:num w:numId="5">
    <w:abstractNumId w:val="14"/>
  </w:num>
  <w:num w:numId="6">
    <w:abstractNumId w:val="25"/>
  </w:num>
  <w:num w:numId="7">
    <w:abstractNumId w:val="24"/>
  </w:num>
  <w:num w:numId="8">
    <w:abstractNumId w:val="17"/>
  </w:num>
  <w:num w:numId="9">
    <w:abstractNumId w:val="1"/>
  </w:num>
  <w:num w:numId="10">
    <w:abstractNumId w:val="18"/>
  </w:num>
  <w:num w:numId="11">
    <w:abstractNumId w:val="15"/>
  </w:num>
  <w:num w:numId="12">
    <w:abstractNumId w:val="3"/>
  </w:num>
  <w:num w:numId="13">
    <w:abstractNumId w:val="12"/>
  </w:num>
  <w:num w:numId="14">
    <w:abstractNumId w:val="0"/>
  </w:num>
  <w:num w:numId="15">
    <w:abstractNumId w:val="10"/>
  </w:num>
  <w:num w:numId="16">
    <w:abstractNumId w:val="30"/>
  </w:num>
  <w:num w:numId="17">
    <w:abstractNumId w:val="29"/>
  </w:num>
  <w:num w:numId="18">
    <w:abstractNumId w:val="22"/>
  </w:num>
  <w:num w:numId="19">
    <w:abstractNumId w:val="21"/>
  </w:num>
  <w:num w:numId="20">
    <w:abstractNumId w:val="13"/>
  </w:num>
  <w:num w:numId="21">
    <w:abstractNumId w:val="16"/>
  </w:num>
  <w:num w:numId="22">
    <w:abstractNumId w:val="23"/>
  </w:num>
  <w:num w:numId="23">
    <w:abstractNumId w:val="27"/>
  </w:num>
  <w:num w:numId="24">
    <w:abstractNumId w:val="2"/>
  </w:num>
  <w:num w:numId="25">
    <w:abstractNumId w:val="8"/>
  </w:num>
  <w:num w:numId="26">
    <w:abstractNumId w:val="19"/>
  </w:num>
  <w:num w:numId="27">
    <w:abstractNumId w:val="11"/>
  </w:num>
  <w:num w:numId="28">
    <w:abstractNumId w:val="6"/>
  </w:num>
  <w:num w:numId="29">
    <w:abstractNumId w:val="7"/>
  </w:num>
  <w:num w:numId="30">
    <w:abstractNumId w:val="2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E421B"/>
    <w:rsid w:val="00001006"/>
    <w:rsid w:val="00016F3C"/>
    <w:rsid w:val="00033FAA"/>
    <w:rsid w:val="00043C4D"/>
    <w:rsid w:val="0006417A"/>
    <w:rsid w:val="0008482F"/>
    <w:rsid w:val="0009060D"/>
    <w:rsid w:val="000B320D"/>
    <w:rsid w:val="000D3D53"/>
    <w:rsid w:val="000D6A58"/>
    <w:rsid w:val="000E0208"/>
    <w:rsid w:val="00140D43"/>
    <w:rsid w:val="00172192"/>
    <w:rsid w:val="001C1A15"/>
    <w:rsid w:val="001C39F8"/>
    <w:rsid w:val="001C49CB"/>
    <w:rsid w:val="002024BB"/>
    <w:rsid w:val="002160A1"/>
    <w:rsid w:val="0022123E"/>
    <w:rsid w:val="0023342D"/>
    <w:rsid w:val="0026394C"/>
    <w:rsid w:val="00273869"/>
    <w:rsid w:val="002776C2"/>
    <w:rsid w:val="002949B5"/>
    <w:rsid w:val="002A47F4"/>
    <w:rsid w:val="002B15FD"/>
    <w:rsid w:val="002B28A5"/>
    <w:rsid w:val="002C29DE"/>
    <w:rsid w:val="002D24F0"/>
    <w:rsid w:val="002F1C95"/>
    <w:rsid w:val="00303421"/>
    <w:rsid w:val="00347B11"/>
    <w:rsid w:val="00380D36"/>
    <w:rsid w:val="0038398B"/>
    <w:rsid w:val="00383EC2"/>
    <w:rsid w:val="003904A1"/>
    <w:rsid w:val="00393CF2"/>
    <w:rsid w:val="00395413"/>
    <w:rsid w:val="003A5B68"/>
    <w:rsid w:val="003C02D0"/>
    <w:rsid w:val="003C64B9"/>
    <w:rsid w:val="003D3524"/>
    <w:rsid w:val="003E610A"/>
    <w:rsid w:val="003F3CA2"/>
    <w:rsid w:val="00416D79"/>
    <w:rsid w:val="00426B78"/>
    <w:rsid w:val="00435288"/>
    <w:rsid w:val="00485458"/>
    <w:rsid w:val="004856BF"/>
    <w:rsid w:val="0049289F"/>
    <w:rsid w:val="004B1B03"/>
    <w:rsid w:val="004C785E"/>
    <w:rsid w:val="004D0B4B"/>
    <w:rsid w:val="004E2FE1"/>
    <w:rsid w:val="004F0308"/>
    <w:rsid w:val="00532480"/>
    <w:rsid w:val="00564959"/>
    <w:rsid w:val="00570A0A"/>
    <w:rsid w:val="005735A0"/>
    <w:rsid w:val="00576293"/>
    <w:rsid w:val="005908FA"/>
    <w:rsid w:val="005919CD"/>
    <w:rsid w:val="005C227A"/>
    <w:rsid w:val="005C5CDA"/>
    <w:rsid w:val="005D309E"/>
    <w:rsid w:val="005D4C2C"/>
    <w:rsid w:val="005E6816"/>
    <w:rsid w:val="0061557A"/>
    <w:rsid w:val="00656DF9"/>
    <w:rsid w:val="00660CE4"/>
    <w:rsid w:val="00671B84"/>
    <w:rsid w:val="0068782C"/>
    <w:rsid w:val="00687E03"/>
    <w:rsid w:val="006A3861"/>
    <w:rsid w:val="006C2E3C"/>
    <w:rsid w:val="006C36D1"/>
    <w:rsid w:val="00700368"/>
    <w:rsid w:val="00722892"/>
    <w:rsid w:val="007238EF"/>
    <w:rsid w:val="0074490E"/>
    <w:rsid w:val="00761355"/>
    <w:rsid w:val="0076434B"/>
    <w:rsid w:val="00782B31"/>
    <w:rsid w:val="007A741A"/>
    <w:rsid w:val="007B0914"/>
    <w:rsid w:val="007B2CB2"/>
    <w:rsid w:val="007C3419"/>
    <w:rsid w:val="007C34EE"/>
    <w:rsid w:val="007D039C"/>
    <w:rsid w:val="007E553B"/>
    <w:rsid w:val="007F0B5F"/>
    <w:rsid w:val="007F18A7"/>
    <w:rsid w:val="00812E17"/>
    <w:rsid w:val="008218AF"/>
    <w:rsid w:val="00831209"/>
    <w:rsid w:val="008478FA"/>
    <w:rsid w:val="008550D3"/>
    <w:rsid w:val="00865152"/>
    <w:rsid w:val="0087145C"/>
    <w:rsid w:val="00882D5F"/>
    <w:rsid w:val="008A1E82"/>
    <w:rsid w:val="008C660B"/>
    <w:rsid w:val="008E0A65"/>
    <w:rsid w:val="008E642C"/>
    <w:rsid w:val="009075BB"/>
    <w:rsid w:val="009373F5"/>
    <w:rsid w:val="0095464B"/>
    <w:rsid w:val="00972BC3"/>
    <w:rsid w:val="00990DB3"/>
    <w:rsid w:val="009B0533"/>
    <w:rsid w:val="009C72B8"/>
    <w:rsid w:val="009D21EF"/>
    <w:rsid w:val="009D494F"/>
    <w:rsid w:val="009E0AAA"/>
    <w:rsid w:val="009F06D4"/>
    <w:rsid w:val="00A15788"/>
    <w:rsid w:val="00A40B9C"/>
    <w:rsid w:val="00A5407D"/>
    <w:rsid w:val="00A625ED"/>
    <w:rsid w:val="00A65C15"/>
    <w:rsid w:val="00A82B23"/>
    <w:rsid w:val="00A856B4"/>
    <w:rsid w:val="00AB4086"/>
    <w:rsid w:val="00AC4BCA"/>
    <w:rsid w:val="00B2395A"/>
    <w:rsid w:val="00B3248D"/>
    <w:rsid w:val="00B40356"/>
    <w:rsid w:val="00B6055D"/>
    <w:rsid w:val="00B673A7"/>
    <w:rsid w:val="00B83B26"/>
    <w:rsid w:val="00B93804"/>
    <w:rsid w:val="00B961EA"/>
    <w:rsid w:val="00B9774E"/>
    <w:rsid w:val="00BC134B"/>
    <w:rsid w:val="00BC7560"/>
    <w:rsid w:val="00BD4650"/>
    <w:rsid w:val="00BE1DA8"/>
    <w:rsid w:val="00BF3AC9"/>
    <w:rsid w:val="00C04622"/>
    <w:rsid w:val="00C34A9D"/>
    <w:rsid w:val="00C5429A"/>
    <w:rsid w:val="00C54C5D"/>
    <w:rsid w:val="00C74A09"/>
    <w:rsid w:val="00CA4AAA"/>
    <w:rsid w:val="00CB25A0"/>
    <w:rsid w:val="00CF0521"/>
    <w:rsid w:val="00D02EA3"/>
    <w:rsid w:val="00D1085D"/>
    <w:rsid w:val="00D23419"/>
    <w:rsid w:val="00D24653"/>
    <w:rsid w:val="00D31D7F"/>
    <w:rsid w:val="00D36171"/>
    <w:rsid w:val="00D578B1"/>
    <w:rsid w:val="00D653AF"/>
    <w:rsid w:val="00D72304"/>
    <w:rsid w:val="00D915C1"/>
    <w:rsid w:val="00D922EE"/>
    <w:rsid w:val="00DD4DF0"/>
    <w:rsid w:val="00DE39A8"/>
    <w:rsid w:val="00E24F20"/>
    <w:rsid w:val="00E25EAF"/>
    <w:rsid w:val="00E33200"/>
    <w:rsid w:val="00E37A7A"/>
    <w:rsid w:val="00E51393"/>
    <w:rsid w:val="00E5569B"/>
    <w:rsid w:val="00E8763D"/>
    <w:rsid w:val="00E952F2"/>
    <w:rsid w:val="00EB2650"/>
    <w:rsid w:val="00EB3F03"/>
    <w:rsid w:val="00EB4C61"/>
    <w:rsid w:val="00EB59C2"/>
    <w:rsid w:val="00EB6721"/>
    <w:rsid w:val="00EB6ACB"/>
    <w:rsid w:val="00EE1983"/>
    <w:rsid w:val="00F00029"/>
    <w:rsid w:val="00F2318B"/>
    <w:rsid w:val="00F379A4"/>
    <w:rsid w:val="00F46DA3"/>
    <w:rsid w:val="00F5758F"/>
    <w:rsid w:val="00F72B1C"/>
    <w:rsid w:val="00F75F8B"/>
    <w:rsid w:val="00F8419F"/>
    <w:rsid w:val="00F91018"/>
    <w:rsid w:val="00F9292F"/>
    <w:rsid w:val="00FA2A6C"/>
    <w:rsid w:val="00FA715A"/>
    <w:rsid w:val="00FD4124"/>
    <w:rsid w:val="00FF32C6"/>
    <w:rsid w:val="08947E02"/>
    <w:rsid w:val="0B6653A1"/>
    <w:rsid w:val="0CBD4A14"/>
    <w:rsid w:val="0E20133D"/>
    <w:rsid w:val="0E281304"/>
    <w:rsid w:val="0EB43F87"/>
    <w:rsid w:val="0F626184"/>
    <w:rsid w:val="0FAE421B"/>
    <w:rsid w:val="15861B5E"/>
    <w:rsid w:val="17341BE1"/>
    <w:rsid w:val="1B6A051E"/>
    <w:rsid w:val="1C6671DC"/>
    <w:rsid w:val="1D453B79"/>
    <w:rsid w:val="1F6C4DB5"/>
    <w:rsid w:val="28B26EBD"/>
    <w:rsid w:val="29B35930"/>
    <w:rsid w:val="2BCC76AF"/>
    <w:rsid w:val="2C620F63"/>
    <w:rsid w:val="2D3E40B6"/>
    <w:rsid w:val="2DBE666A"/>
    <w:rsid w:val="30283F91"/>
    <w:rsid w:val="33F667D8"/>
    <w:rsid w:val="36110634"/>
    <w:rsid w:val="38245254"/>
    <w:rsid w:val="3C4926A9"/>
    <w:rsid w:val="3D974615"/>
    <w:rsid w:val="417B0E1A"/>
    <w:rsid w:val="4296514B"/>
    <w:rsid w:val="432314AC"/>
    <w:rsid w:val="46117980"/>
    <w:rsid w:val="47010072"/>
    <w:rsid w:val="482941C1"/>
    <w:rsid w:val="4A8C13C1"/>
    <w:rsid w:val="4DC1210F"/>
    <w:rsid w:val="518E7E65"/>
    <w:rsid w:val="51B11E2F"/>
    <w:rsid w:val="57B45B12"/>
    <w:rsid w:val="59D30C26"/>
    <w:rsid w:val="5E047F4B"/>
    <w:rsid w:val="5E3808F5"/>
    <w:rsid w:val="5EE4493D"/>
    <w:rsid w:val="63EE1959"/>
    <w:rsid w:val="6481779F"/>
    <w:rsid w:val="665909E5"/>
    <w:rsid w:val="67FC6E0F"/>
    <w:rsid w:val="695A1B59"/>
    <w:rsid w:val="6F552F9B"/>
    <w:rsid w:val="71E96442"/>
    <w:rsid w:val="7744184B"/>
    <w:rsid w:val="7A6F249B"/>
    <w:rsid w:val="7CFF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tabs>
        <w:tab w:val="left" w:pos="1050"/>
      </w:tabs>
      <w:outlineLvl w:val="0"/>
    </w:pPr>
    <w:rPr>
      <w:rFonts w:ascii="宋体" w:hAnsi="宋体" w:cs="宋体"/>
      <w:b/>
      <w:bCs/>
      <w:color w:val="000000" w:themeColor="text1"/>
      <w:kern w:val="44"/>
      <w:szCs w:val="21"/>
      <w14:textFill>
        <w14:solidFill>
          <w14:schemeClr w14:val="tx1"/>
        </w14:solidFill>
      </w14:textFill>
    </w:rPr>
  </w:style>
  <w:style w:type="paragraph" w:styleId="5">
    <w:name w:val="heading 2"/>
    <w:basedOn w:val="1"/>
    <w:next w:val="1"/>
    <w:unhideWhenUsed/>
    <w:qFormat/>
    <w:uiPriority w:val="9"/>
    <w:pPr>
      <w:keepNext/>
      <w:keepLines/>
      <w:tabs>
        <w:tab w:val="left" w:pos="1050"/>
      </w:tabs>
      <w:outlineLvl w:val="1"/>
    </w:pPr>
    <w:rPr>
      <w:rFonts w:ascii="宋体" w:hAnsi="宋体" w:cs="宋体"/>
      <w:b/>
      <w:bCs/>
      <w:color w:val="000000" w:themeColor="text1"/>
      <w:szCs w:val="21"/>
      <w14:textFill>
        <w14:solidFill>
          <w14:schemeClr w14:val="tx1"/>
        </w14:solidFill>
      </w14:textFill>
    </w:rPr>
  </w:style>
  <w:style w:type="paragraph" w:styleId="6">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576"/>
    </w:pPr>
    <w:rPr>
      <w:b/>
      <w:sz w:val="30"/>
    </w:rPr>
  </w:style>
  <w:style w:type="paragraph" w:styleId="7">
    <w:name w:val="annotation text"/>
    <w:basedOn w:val="1"/>
    <w:link w:val="18"/>
    <w:qFormat/>
    <w:uiPriority w:val="99"/>
    <w:pPr>
      <w:jc w:val="left"/>
    </w:p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7"/>
    <w:next w:val="7"/>
    <w:link w:val="19"/>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character" w:customStyle="1" w:styleId="18">
    <w:name w:val="批注文字 字符"/>
    <w:basedOn w:val="14"/>
    <w:link w:val="7"/>
    <w:qFormat/>
    <w:uiPriority w:val="99"/>
    <w:rPr>
      <w:rFonts w:asciiTheme="minorHAnsi" w:hAnsiTheme="minorHAnsi" w:eastAsiaTheme="minorEastAsia" w:cstheme="minorBidi"/>
      <w:kern w:val="2"/>
      <w:sz w:val="21"/>
      <w:szCs w:val="24"/>
    </w:rPr>
  </w:style>
  <w:style w:type="character" w:customStyle="1" w:styleId="19">
    <w:name w:val="批注主题 字符"/>
    <w:basedOn w:val="18"/>
    <w:link w:val="11"/>
    <w:qFormat/>
    <w:uiPriority w:val="0"/>
    <w:rPr>
      <w:rFonts w:asciiTheme="minorHAnsi" w:hAnsiTheme="minorHAnsi" w:eastAsiaTheme="minorEastAsia" w:cstheme="minorBidi"/>
      <w:b/>
      <w:bCs/>
      <w:kern w:val="2"/>
      <w:sz w:val="21"/>
      <w:szCs w:val="24"/>
    </w:rPr>
  </w:style>
  <w:style w:type="paragraph" w:styleId="20">
    <w:name w:val="List Paragraph"/>
    <w:basedOn w:val="1"/>
    <w:qFormat/>
    <w:uiPriority w:val="99"/>
    <w:pPr>
      <w:ind w:firstLine="420" w:firstLineChars="200"/>
    </w:pPr>
  </w:style>
  <w:style w:type="character" w:customStyle="1" w:styleId="21">
    <w:name w:val="页眉 字符"/>
    <w:basedOn w:val="14"/>
    <w:link w:val="9"/>
    <w:qFormat/>
    <w:uiPriority w:val="0"/>
    <w:rPr>
      <w:rFonts w:asciiTheme="minorHAnsi" w:hAnsiTheme="minorHAnsi" w:eastAsiaTheme="minorEastAsia" w:cstheme="minorBidi"/>
      <w:kern w:val="2"/>
      <w:sz w:val="18"/>
      <w:szCs w:val="18"/>
    </w:rPr>
  </w:style>
  <w:style w:type="character" w:customStyle="1" w:styleId="22">
    <w:name w:val="页脚 字符"/>
    <w:basedOn w:val="14"/>
    <w:link w:val="8"/>
    <w:qFormat/>
    <w:uiPriority w:val="0"/>
    <w:rPr>
      <w:rFonts w:asciiTheme="minorHAnsi" w:hAnsiTheme="minorHAnsi" w:eastAsiaTheme="minorEastAsia" w:cstheme="minorBidi"/>
      <w:kern w:val="2"/>
      <w:sz w:val="18"/>
      <w:szCs w:val="18"/>
    </w:rPr>
  </w:style>
  <w:style w:type="paragraph" w:customStyle="1" w:styleId="23">
    <w:name w:val="条款标题"/>
    <w:basedOn w:val="24"/>
    <w:qFormat/>
    <w:uiPriority w:val="0"/>
    <w:pPr>
      <w:tabs>
        <w:tab w:val="left" w:pos="840"/>
      </w:tabs>
      <w:adjustRightInd w:val="0"/>
      <w:snapToGrid w:val="0"/>
    </w:pPr>
    <w:rPr>
      <w:rFonts w:ascii="Times New Roman" w:hAnsi="Times New Roman" w:eastAsia="宋体" w:cs="Times New Roman"/>
      <w:b/>
    </w:rPr>
  </w:style>
  <w:style w:type="paragraph" w:customStyle="1" w:styleId="24">
    <w:name w:val="条款正文"/>
    <w:basedOn w:val="1"/>
    <w:qFormat/>
    <w:uiPriority w:val="0"/>
    <w:pPr>
      <w:adjustRightInd w:val="0"/>
      <w:snapToGrid w:val="0"/>
      <w:ind w:left="840" w:leftChars="400" w:firstLine="420" w:firstLineChars="200"/>
    </w:pPr>
  </w:style>
  <w:style w:type="paragraph" w:customStyle="1" w:styleId="25">
    <w:name w:val="的"/>
    <w:basedOn w:val="1"/>
    <w:qFormat/>
    <w:uiPriority w:val="0"/>
    <w:pPr>
      <w:tabs>
        <w:tab w:val="left" w:pos="840"/>
      </w:tabs>
      <w:adjustRightInd w:val="0"/>
      <w:snapToGrid w:val="0"/>
      <w:spacing w:line="0" w:lineRule="atLeast"/>
    </w:pPr>
    <w:rPr>
      <w:rFonts w:ascii="宋体" w:hAnsi="宋体" w:cs="宋体"/>
      <w:b/>
      <w:szCs w:val="21"/>
    </w:rPr>
  </w:style>
  <w:style w:type="paragraph" w:customStyle="1" w:styleId="26">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3CFE-43B2-4635-82D7-2A90C174C12A}">
  <ds:schemaRefs/>
</ds:datastoreItem>
</file>

<file path=docProps/app.xml><?xml version="1.0" encoding="utf-8"?>
<Properties xmlns="http://schemas.openxmlformats.org/officeDocument/2006/extended-properties" xmlns:vt="http://schemas.openxmlformats.org/officeDocument/2006/docPropsVTypes">
  <Template>Normal</Template>
  <Pages>8</Pages>
  <Words>1235</Words>
  <Characters>7041</Characters>
  <Lines>58</Lines>
  <Paragraphs>16</Paragraphs>
  <TotalTime>2</TotalTime>
  <ScaleCrop>false</ScaleCrop>
  <LinksUpToDate>false</LinksUpToDate>
  <CharactersWithSpaces>8260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王晓丹</cp:lastModifiedBy>
  <dcterms:modified xsi:type="dcterms:W3CDTF">2024-07-26T04:25:23Z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4A48FDA30B01414DA5DA436CB5C40DC7</vt:lpwstr>
  </property>
</Properties>
</file>